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14:paraId="39FBB6C9" w14:textId="77777777" w:rsidTr="009E22B0">
        <w:tc>
          <w:tcPr>
            <w:tcW w:w="8510" w:type="dxa"/>
          </w:tcPr>
          <w:p w14:paraId="3323CE26" w14:textId="77777777" w:rsidR="007B23FC" w:rsidRDefault="002774F4"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026A509D" wp14:editId="43A349FD">
                  <wp:simplePos x="0" y="0"/>
                  <wp:positionH relativeFrom="column">
                    <wp:posOffset>-85725</wp:posOffset>
                  </wp:positionH>
                  <wp:positionV relativeFrom="page">
                    <wp:posOffset>97155</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14:paraId="7FA85C3F" w14:textId="77777777" w:rsidR="003728EE" w:rsidRDefault="003728EE" w:rsidP="00A53B04">
            <w:pPr>
              <w:pStyle w:val="Infotext"/>
              <w:rPr>
                <w:rFonts w:ascii="Arial Black" w:hAnsi="Arial Black"/>
                <w:color w:val="999999"/>
                <w:sz w:val="36"/>
                <w:szCs w:val="36"/>
              </w:rPr>
            </w:pPr>
          </w:p>
          <w:p w14:paraId="78E7D1EC" w14:textId="77777777" w:rsidR="007B23FC" w:rsidRDefault="007B23FC" w:rsidP="00A53B04">
            <w:pPr>
              <w:pStyle w:val="Infotext"/>
              <w:rPr>
                <w:rFonts w:ascii="Arial Black" w:hAnsi="Arial Black"/>
                <w:color w:val="999999"/>
                <w:sz w:val="36"/>
                <w:szCs w:val="36"/>
              </w:rPr>
            </w:pPr>
          </w:p>
          <w:p w14:paraId="706D404B" w14:textId="77777777" w:rsidR="007B23FC" w:rsidRDefault="007B23FC" w:rsidP="00A53B04">
            <w:pPr>
              <w:pStyle w:val="Infotext"/>
              <w:rPr>
                <w:rFonts w:ascii="Arial Black" w:hAnsi="Arial Black"/>
                <w:color w:val="999999"/>
                <w:sz w:val="36"/>
                <w:szCs w:val="36"/>
              </w:rPr>
            </w:pPr>
          </w:p>
          <w:p w14:paraId="2A487D4D" w14:textId="77777777" w:rsidR="007B23FC" w:rsidRPr="007B23FC" w:rsidRDefault="007B23FC" w:rsidP="00A53B04">
            <w:pPr>
              <w:rPr>
                <w:rFonts w:ascii="Arial Black" w:hAnsi="Arial Black" w:cs="Arial"/>
                <w:szCs w:val="36"/>
              </w:rPr>
            </w:pPr>
          </w:p>
        </w:tc>
      </w:tr>
      <w:tr w:rsidR="003728EE" w14:paraId="7D105054" w14:textId="77777777" w:rsidTr="00421A4C">
        <w:tc>
          <w:tcPr>
            <w:tcW w:w="8510" w:type="dxa"/>
            <w:tcBorders>
              <w:bottom w:val="single" w:sz="18" w:space="0" w:color="auto"/>
            </w:tcBorders>
          </w:tcPr>
          <w:p w14:paraId="089FFF43" w14:textId="77777777" w:rsidR="003728EE" w:rsidRDefault="003728EE" w:rsidP="00A53B04">
            <w:pPr>
              <w:pStyle w:val="Infotext"/>
              <w:rPr>
                <w:rFonts w:ascii="Arial Black" w:hAnsi="Arial Black"/>
                <w:noProof/>
                <w:color w:val="999999"/>
                <w:sz w:val="36"/>
                <w:szCs w:val="36"/>
                <w:lang w:eastAsia="en-GB"/>
              </w:rPr>
            </w:pPr>
          </w:p>
        </w:tc>
      </w:tr>
    </w:tbl>
    <w:p w14:paraId="75E6A00C" w14:textId="77777777" w:rsidR="004076C8" w:rsidRPr="0036201C" w:rsidRDefault="004076C8"/>
    <w:tbl>
      <w:tblPr>
        <w:tblW w:w="8510" w:type="dxa"/>
        <w:tblLayout w:type="fixed"/>
        <w:tblLook w:val="0000" w:firstRow="0" w:lastRow="0" w:firstColumn="0" w:lastColumn="0" w:noHBand="0" w:noVBand="0"/>
      </w:tblPr>
      <w:tblGrid>
        <w:gridCol w:w="3510"/>
        <w:gridCol w:w="4829"/>
        <w:gridCol w:w="171"/>
      </w:tblGrid>
      <w:tr w:rsidR="00333FAA" w14:paraId="47227AE1" w14:textId="77777777" w:rsidTr="00BE36D5">
        <w:tc>
          <w:tcPr>
            <w:tcW w:w="3510" w:type="dxa"/>
            <w:tcBorders>
              <w:bottom w:val="single" w:sz="18" w:space="0" w:color="auto"/>
            </w:tcBorders>
          </w:tcPr>
          <w:p w14:paraId="2B96DE07"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55D07B26" w14:textId="77777777" w:rsidR="00333FAA" w:rsidRPr="00B805DB" w:rsidRDefault="00333FAA" w:rsidP="00A53B04">
            <w:pPr>
              <w:pStyle w:val="Infotext"/>
              <w:rPr>
                <w:rFonts w:ascii="Arial Black" w:hAnsi="Arial Black" w:cs="Arial"/>
                <w:sz w:val="36"/>
                <w:szCs w:val="36"/>
              </w:rPr>
            </w:pPr>
          </w:p>
        </w:tc>
        <w:tc>
          <w:tcPr>
            <w:tcW w:w="5000" w:type="dxa"/>
            <w:gridSpan w:val="2"/>
            <w:tcBorders>
              <w:bottom w:val="single" w:sz="18" w:space="0" w:color="auto"/>
            </w:tcBorders>
          </w:tcPr>
          <w:p w14:paraId="3A113B0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211FCF8" w14:textId="77777777" w:rsidR="00333FAA" w:rsidRPr="005E3A10" w:rsidRDefault="00333FAA" w:rsidP="00A53B04">
            <w:pPr>
              <w:rPr>
                <w:rFonts w:ascii="Arial Black" w:hAnsi="Arial Black" w:cs="Arial"/>
                <w:szCs w:val="24"/>
              </w:rPr>
            </w:pPr>
          </w:p>
        </w:tc>
      </w:tr>
      <w:tr w:rsidR="00333FAA" w14:paraId="2541488F" w14:textId="77777777" w:rsidTr="00BE36D5">
        <w:tc>
          <w:tcPr>
            <w:tcW w:w="3510" w:type="dxa"/>
            <w:tcBorders>
              <w:top w:val="single" w:sz="18" w:space="0" w:color="auto"/>
            </w:tcBorders>
          </w:tcPr>
          <w:p w14:paraId="10D0D9D7"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741C740" w14:textId="77777777" w:rsidR="00333FAA" w:rsidRPr="00C13A5F" w:rsidRDefault="00333FAA" w:rsidP="00A53B04">
            <w:pPr>
              <w:pStyle w:val="Infotext"/>
              <w:rPr>
                <w:rFonts w:ascii="Arial Black" w:hAnsi="Arial Black" w:cs="Arial"/>
              </w:rPr>
            </w:pPr>
          </w:p>
        </w:tc>
        <w:tc>
          <w:tcPr>
            <w:tcW w:w="5000" w:type="dxa"/>
            <w:gridSpan w:val="2"/>
            <w:tcBorders>
              <w:top w:val="single" w:sz="18" w:space="0" w:color="auto"/>
            </w:tcBorders>
          </w:tcPr>
          <w:p w14:paraId="7185BA4A" w14:textId="2169FE70" w:rsidR="00333FAA" w:rsidRDefault="009F2E4F" w:rsidP="00DD3A49">
            <w:pPr>
              <w:rPr>
                <w:rFonts w:cs="Arial"/>
              </w:rPr>
            </w:pPr>
            <w:r>
              <w:rPr>
                <w:rFonts w:cs="Arial"/>
              </w:rPr>
              <w:t>8</w:t>
            </w:r>
            <w:r w:rsidR="00FF509C" w:rsidRPr="006B1DE1">
              <w:rPr>
                <w:rFonts w:cs="Arial"/>
              </w:rPr>
              <w:t xml:space="preserve"> </w:t>
            </w:r>
            <w:r>
              <w:rPr>
                <w:rFonts w:cs="Arial"/>
              </w:rPr>
              <w:t>December</w:t>
            </w:r>
            <w:r w:rsidR="00FF509C" w:rsidRPr="006B1DE1">
              <w:rPr>
                <w:rFonts w:cs="Arial"/>
              </w:rPr>
              <w:t xml:space="preserve"> 201</w:t>
            </w:r>
            <w:r w:rsidR="00DD3A49">
              <w:rPr>
                <w:rFonts w:cs="Arial"/>
              </w:rPr>
              <w:t>6</w:t>
            </w:r>
          </w:p>
          <w:p w14:paraId="32489322" w14:textId="77777777" w:rsidR="00DD3A49" w:rsidRPr="005E3A10" w:rsidRDefault="00DD3A49" w:rsidP="00DD3A49">
            <w:pPr>
              <w:rPr>
                <w:rFonts w:cs="Arial"/>
                <w:szCs w:val="24"/>
              </w:rPr>
            </w:pPr>
          </w:p>
        </w:tc>
      </w:tr>
      <w:tr w:rsidR="00333FAA" w14:paraId="6CB612C8" w14:textId="77777777" w:rsidTr="00BE36D5">
        <w:tc>
          <w:tcPr>
            <w:tcW w:w="3510" w:type="dxa"/>
          </w:tcPr>
          <w:p w14:paraId="54895B2F"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47BED9F" w14:textId="77777777" w:rsidR="00333FAA" w:rsidRPr="00C13A5F" w:rsidRDefault="00333FAA" w:rsidP="00A53B04">
            <w:pPr>
              <w:pStyle w:val="Infotext"/>
              <w:rPr>
                <w:rFonts w:ascii="Arial Black" w:hAnsi="Arial Black"/>
              </w:rPr>
            </w:pPr>
          </w:p>
        </w:tc>
        <w:tc>
          <w:tcPr>
            <w:tcW w:w="5000" w:type="dxa"/>
            <w:gridSpan w:val="2"/>
          </w:tcPr>
          <w:p w14:paraId="1157B48C" w14:textId="7E78E115" w:rsidR="00333FAA" w:rsidRPr="005E3A10" w:rsidRDefault="00D77527" w:rsidP="00DD3A49">
            <w:pPr>
              <w:rPr>
                <w:rFonts w:cs="Arial"/>
                <w:szCs w:val="24"/>
              </w:rPr>
            </w:pPr>
            <w:r>
              <w:rPr>
                <w:rFonts w:cs="Arial"/>
              </w:rPr>
              <w:t xml:space="preserve">2016/17 </w:t>
            </w:r>
            <w:r w:rsidR="00FF509C" w:rsidRPr="006B1DE1">
              <w:rPr>
                <w:rFonts w:cs="Arial"/>
              </w:rPr>
              <w:t xml:space="preserve">Revenue and Capital Monitoring for Quarter </w:t>
            </w:r>
            <w:r w:rsidR="009F2E4F">
              <w:rPr>
                <w:rFonts w:cs="Arial"/>
              </w:rPr>
              <w:t>2</w:t>
            </w:r>
            <w:r w:rsidR="00FF509C" w:rsidRPr="006B1DE1">
              <w:rPr>
                <w:rFonts w:cs="Arial"/>
              </w:rPr>
              <w:t xml:space="preserve"> as at </w:t>
            </w:r>
            <w:r w:rsidR="006242AB">
              <w:rPr>
                <w:rFonts w:cs="Arial"/>
              </w:rPr>
              <w:t>30</w:t>
            </w:r>
            <w:r w:rsidR="009F2E4F">
              <w:rPr>
                <w:rFonts w:cs="Arial"/>
              </w:rPr>
              <w:t xml:space="preserve"> September</w:t>
            </w:r>
            <w:r w:rsidR="00E871FD">
              <w:rPr>
                <w:rFonts w:cs="Arial"/>
              </w:rPr>
              <w:t xml:space="preserve"> 2016</w:t>
            </w:r>
          </w:p>
        </w:tc>
      </w:tr>
      <w:tr w:rsidR="00333FAA" w14:paraId="4FDEED1F" w14:textId="77777777" w:rsidTr="00BE36D5">
        <w:tc>
          <w:tcPr>
            <w:tcW w:w="3510" w:type="dxa"/>
          </w:tcPr>
          <w:p w14:paraId="1FFB7E24"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0E22EBBF" w14:textId="77777777" w:rsidR="00333FAA" w:rsidRPr="00C13A5F" w:rsidRDefault="00333FAA" w:rsidP="00A53B04">
            <w:pPr>
              <w:pStyle w:val="Infotext"/>
              <w:rPr>
                <w:rFonts w:ascii="Arial Black" w:hAnsi="Arial Black" w:cs="Arial"/>
              </w:rPr>
            </w:pPr>
          </w:p>
        </w:tc>
        <w:tc>
          <w:tcPr>
            <w:tcW w:w="5000" w:type="dxa"/>
            <w:gridSpan w:val="2"/>
          </w:tcPr>
          <w:p w14:paraId="6CBAA87E" w14:textId="77777777" w:rsidR="00333FAA" w:rsidRPr="005E3A10" w:rsidRDefault="006D3696" w:rsidP="002C672F">
            <w:pPr>
              <w:pStyle w:val="Infotext"/>
              <w:rPr>
                <w:rFonts w:cs="Arial"/>
                <w:szCs w:val="24"/>
              </w:rPr>
            </w:pPr>
            <w:r>
              <w:rPr>
                <w:rFonts w:cs="Arial"/>
                <w:sz w:val="24"/>
                <w:szCs w:val="24"/>
              </w:rPr>
              <w:t>Yes</w:t>
            </w:r>
          </w:p>
        </w:tc>
      </w:tr>
      <w:tr w:rsidR="001C7E35" w14:paraId="4B648F80" w14:textId="77777777" w:rsidTr="00BE36D5">
        <w:tc>
          <w:tcPr>
            <w:tcW w:w="3510" w:type="dxa"/>
          </w:tcPr>
          <w:p w14:paraId="363BA8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9AE1371" w14:textId="77777777" w:rsidR="001C7E35" w:rsidRPr="00C13A5F" w:rsidRDefault="001C7E35" w:rsidP="00A53B04">
            <w:pPr>
              <w:pStyle w:val="Infotext"/>
              <w:rPr>
                <w:rFonts w:ascii="Arial Black" w:hAnsi="Arial Black" w:cs="Arial"/>
              </w:rPr>
            </w:pPr>
          </w:p>
        </w:tc>
        <w:tc>
          <w:tcPr>
            <w:tcW w:w="5000" w:type="dxa"/>
            <w:gridSpan w:val="2"/>
          </w:tcPr>
          <w:p w14:paraId="162CAFE5" w14:textId="77777777"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14:paraId="26DE3B16" w14:textId="77777777" w:rsidTr="00BE36D5">
        <w:tc>
          <w:tcPr>
            <w:tcW w:w="3510" w:type="dxa"/>
          </w:tcPr>
          <w:p w14:paraId="6BE1FA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762CB0D" w14:textId="77777777" w:rsidR="001C7E35" w:rsidRPr="00C13A5F" w:rsidRDefault="001C7E35" w:rsidP="00A53B04">
            <w:pPr>
              <w:pStyle w:val="BodyText"/>
              <w:rPr>
                <w:rFonts w:ascii="Arial Black" w:hAnsi="Arial Black"/>
              </w:rPr>
            </w:pPr>
          </w:p>
        </w:tc>
        <w:tc>
          <w:tcPr>
            <w:tcW w:w="5000" w:type="dxa"/>
            <w:gridSpan w:val="2"/>
          </w:tcPr>
          <w:p w14:paraId="0414A3D8" w14:textId="77777777" w:rsidR="001C7E35" w:rsidRPr="005E3A10" w:rsidRDefault="00FF509C" w:rsidP="00E871FD">
            <w:pPr>
              <w:pStyle w:val="Infotext"/>
              <w:rPr>
                <w:rFonts w:cs="Arial"/>
                <w:color w:val="FF0000"/>
                <w:sz w:val="24"/>
                <w:szCs w:val="24"/>
              </w:rPr>
            </w:pPr>
            <w:r w:rsidRPr="00FF509C">
              <w:rPr>
                <w:rFonts w:cs="Arial"/>
                <w:sz w:val="24"/>
                <w:szCs w:val="24"/>
              </w:rPr>
              <w:t xml:space="preserve">Councillor </w:t>
            </w:r>
            <w:r w:rsidR="00D77527">
              <w:rPr>
                <w:rFonts w:cs="Arial"/>
                <w:sz w:val="24"/>
                <w:szCs w:val="24"/>
              </w:rPr>
              <w:t>Adam Swersk</w:t>
            </w:r>
            <w:r w:rsidR="00E871FD">
              <w:rPr>
                <w:rFonts w:cs="Arial"/>
                <w:sz w:val="24"/>
                <w:szCs w:val="24"/>
              </w:rPr>
              <w:t>y,</w:t>
            </w:r>
            <w:r w:rsidRPr="00FF509C">
              <w:rPr>
                <w:rFonts w:cs="Arial"/>
                <w:sz w:val="24"/>
                <w:szCs w:val="24"/>
              </w:rPr>
              <w:t xml:space="preserve"> Portfolio Holder for Finance and </w:t>
            </w:r>
            <w:r w:rsidR="00E871FD">
              <w:rPr>
                <w:rFonts w:cs="Arial"/>
                <w:sz w:val="24"/>
                <w:szCs w:val="24"/>
              </w:rPr>
              <w:t>Commercialisation</w:t>
            </w:r>
          </w:p>
        </w:tc>
      </w:tr>
      <w:tr w:rsidR="001C7E35" w14:paraId="482B9714" w14:textId="77777777" w:rsidTr="00BE36D5">
        <w:tc>
          <w:tcPr>
            <w:tcW w:w="3510" w:type="dxa"/>
          </w:tcPr>
          <w:p w14:paraId="368D7583" w14:textId="77777777" w:rsidR="001C7E35" w:rsidRPr="00DB6C3D" w:rsidRDefault="001C7E35" w:rsidP="00DB6C3D">
            <w:pPr>
              <w:pStyle w:val="Infotext"/>
              <w:rPr>
                <w:rFonts w:ascii="Arial Black" w:hAnsi="Arial Black"/>
              </w:rPr>
            </w:pPr>
            <w:r w:rsidRPr="00DB6C3D">
              <w:rPr>
                <w:rFonts w:ascii="Arial Black" w:hAnsi="Arial Black"/>
              </w:rPr>
              <w:t>Exempt:</w:t>
            </w:r>
          </w:p>
          <w:p w14:paraId="6BE1F71B" w14:textId="77777777" w:rsidR="001C7E35" w:rsidRPr="00C13A5F" w:rsidRDefault="001C7E35" w:rsidP="00A53B04">
            <w:pPr>
              <w:pStyle w:val="BodyText"/>
              <w:rPr>
                <w:rFonts w:ascii="Arial Black" w:hAnsi="Arial Black"/>
              </w:rPr>
            </w:pPr>
          </w:p>
        </w:tc>
        <w:tc>
          <w:tcPr>
            <w:tcW w:w="5000" w:type="dxa"/>
            <w:gridSpan w:val="2"/>
          </w:tcPr>
          <w:p w14:paraId="1263810A" w14:textId="329D9253" w:rsidR="00EF3E22" w:rsidRPr="00EF3E22" w:rsidRDefault="00E9195A" w:rsidP="00F650D7">
            <w:pPr>
              <w:pStyle w:val="Infotext"/>
              <w:ind w:right="356"/>
              <w:jc w:val="both"/>
              <w:outlineLvl w:val="0"/>
              <w:rPr>
                <w:rFonts w:cs="Arial"/>
                <w:sz w:val="24"/>
                <w:szCs w:val="24"/>
              </w:rPr>
            </w:pPr>
            <w:r w:rsidRPr="00E9195A">
              <w:rPr>
                <w:rFonts w:cs="Arial"/>
                <w:sz w:val="24"/>
                <w:szCs w:val="24"/>
              </w:rPr>
              <w:t>No</w:t>
            </w:r>
            <w:r w:rsidR="00EF3E22">
              <w:rPr>
                <w:rFonts w:cs="Arial"/>
                <w:sz w:val="24"/>
                <w:szCs w:val="24"/>
              </w:rPr>
              <w:t>,</w:t>
            </w:r>
            <w:r w:rsidR="008563A7">
              <w:rPr>
                <w:rFonts w:cs="Arial"/>
                <w:sz w:val="24"/>
                <w:szCs w:val="24"/>
              </w:rPr>
              <w:t xml:space="preserve"> except for Appendix 5</w:t>
            </w:r>
            <w:r w:rsidR="00EF3E22" w:rsidRPr="00EF3E22">
              <w:rPr>
                <w:rFonts w:cs="Arial"/>
                <w:sz w:val="24"/>
                <w:szCs w:val="24"/>
              </w:rPr>
              <w:t xml:space="preserve">,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 </w:t>
            </w:r>
          </w:p>
          <w:p w14:paraId="56D1C2D0" w14:textId="4B39F745" w:rsidR="001C7E35" w:rsidRPr="005E3A10" w:rsidRDefault="001C7E35" w:rsidP="00A64789">
            <w:pPr>
              <w:pStyle w:val="Infotext"/>
              <w:rPr>
                <w:rFonts w:cs="Arial"/>
                <w:color w:val="FF0000"/>
                <w:sz w:val="24"/>
                <w:szCs w:val="24"/>
              </w:rPr>
            </w:pPr>
          </w:p>
        </w:tc>
      </w:tr>
      <w:tr w:rsidR="001C7E35" w14:paraId="41B65A1D" w14:textId="77777777" w:rsidTr="00BE36D5">
        <w:tc>
          <w:tcPr>
            <w:tcW w:w="3510" w:type="dxa"/>
          </w:tcPr>
          <w:p w14:paraId="4B4FBB39"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CCE5532" w14:textId="77777777" w:rsidR="001C7E35" w:rsidRPr="00C13A5F" w:rsidRDefault="001C7E35" w:rsidP="00A53B04">
            <w:pPr>
              <w:pStyle w:val="BodyText"/>
              <w:rPr>
                <w:rFonts w:ascii="Arial Black" w:hAnsi="Arial Black"/>
              </w:rPr>
            </w:pPr>
          </w:p>
        </w:tc>
        <w:tc>
          <w:tcPr>
            <w:tcW w:w="5000" w:type="dxa"/>
            <w:gridSpan w:val="2"/>
          </w:tcPr>
          <w:p w14:paraId="22A730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3039B65" w14:textId="77777777" w:rsidR="001C7E35" w:rsidRPr="005E3A10" w:rsidRDefault="001C7E35" w:rsidP="00D835CF">
            <w:pPr>
              <w:rPr>
                <w:rFonts w:cs="Arial"/>
                <w:szCs w:val="24"/>
              </w:rPr>
            </w:pPr>
          </w:p>
          <w:p w14:paraId="3C6D21CC" w14:textId="77777777" w:rsidR="00714BEE" w:rsidRPr="005E3A10" w:rsidRDefault="00714BEE" w:rsidP="00D835CF">
            <w:pPr>
              <w:rPr>
                <w:rFonts w:cs="Arial"/>
                <w:szCs w:val="24"/>
              </w:rPr>
            </w:pPr>
          </w:p>
        </w:tc>
      </w:tr>
      <w:tr w:rsidR="001C7E35" w14:paraId="5E775D45" w14:textId="77777777" w:rsidTr="00BE36D5">
        <w:tc>
          <w:tcPr>
            <w:tcW w:w="3510" w:type="dxa"/>
          </w:tcPr>
          <w:p w14:paraId="0BABF490" w14:textId="77777777" w:rsidR="001C7E35" w:rsidRDefault="001C7E35" w:rsidP="00A53B04">
            <w:pPr>
              <w:pStyle w:val="Infotext"/>
              <w:rPr>
                <w:rFonts w:ascii="Arial Black" w:hAnsi="Arial Black" w:cs="Arial"/>
              </w:rPr>
            </w:pPr>
            <w:r>
              <w:rPr>
                <w:rFonts w:ascii="Arial Black" w:hAnsi="Arial Black" w:cs="Arial"/>
              </w:rPr>
              <w:t>Wards affected:</w:t>
            </w:r>
          </w:p>
          <w:p w14:paraId="5ED1EC9C" w14:textId="77777777" w:rsidR="001C7E35" w:rsidRPr="00C13A5F" w:rsidRDefault="001C7E35" w:rsidP="00A53B04">
            <w:pPr>
              <w:pStyle w:val="Infotext"/>
              <w:rPr>
                <w:rFonts w:ascii="Arial Black" w:hAnsi="Arial Black" w:cs="Arial"/>
              </w:rPr>
            </w:pPr>
          </w:p>
        </w:tc>
        <w:tc>
          <w:tcPr>
            <w:tcW w:w="5000" w:type="dxa"/>
            <w:gridSpan w:val="2"/>
          </w:tcPr>
          <w:p w14:paraId="366F14A2" w14:textId="77777777" w:rsidR="001C7E35" w:rsidRPr="005E3A10" w:rsidRDefault="00FF509C" w:rsidP="00D835CF">
            <w:pPr>
              <w:rPr>
                <w:rFonts w:cs="Arial"/>
                <w:szCs w:val="24"/>
              </w:rPr>
            </w:pPr>
            <w:r>
              <w:rPr>
                <w:rFonts w:cs="Arial"/>
                <w:szCs w:val="24"/>
              </w:rPr>
              <w:t>All</w:t>
            </w:r>
          </w:p>
        </w:tc>
      </w:tr>
      <w:tr w:rsidR="001C7E35" w14:paraId="2AD78899" w14:textId="77777777" w:rsidTr="00BE36D5">
        <w:tc>
          <w:tcPr>
            <w:tcW w:w="3510" w:type="dxa"/>
          </w:tcPr>
          <w:p w14:paraId="244218C7"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16BD55AC" w14:textId="77777777" w:rsidR="001C7E35" w:rsidRPr="00C13A5F" w:rsidRDefault="001C7E35" w:rsidP="00A53B04">
            <w:pPr>
              <w:pStyle w:val="Infotext"/>
              <w:rPr>
                <w:rFonts w:ascii="Arial Black" w:hAnsi="Arial Black" w:cs="Arial"/>
              </w:rPr>
            </w:pPr>
          </w:p>
        </w:tc>
        <w:tc>
          <w:tcPr>
            <w:tcW w:w="5000" w:type="dxa"/>
            <w:gridSpan w:val="2"/>
          </w:tcPr>
          <w:p w14:paraId="788C76FB" w14:textId="77777777" w:rsidR="00FF509C" w:rsidRPr="006B1DE1" w:rsidRDefault="00FF509C" w:rsidP="00FF509C">
            <w:pPr>
              <w:ind w:left="1512" w:right="489" w:hanging="1512"/>
              <w:rPr>
                <w:rFonts w:cs="Arial"/>
              </w:rPr>
            </w:pPr>
            <w:r w:rsidRPr="006B1DE1">
              <w:rPr>
                <w:rFonts w:cs="Arial"/>
              </w:rPr>
              <w:t>Appendix 1 - Revenue Summary</w:t>
            </w:r>
          </w:p>
          <w:p w14:paraId="3FBD70AC" w14:textId="6D89D352" w:rsidR="00FF509C" w:rsidRPr="006B1DE1" w:rsidRDefault="00FF509C" w:rsidP="00FF509C">
            <w:pPr>
              <w:ind w:left="1512" w:right="489" w:hanging="1512"/>
              <w:rPr>
                <w:rFonts w:cs="Arial"/>
              </w:rPr>
            </w:pPr>
            <w:r w:rsidRPr="006B1DE1">
              <w:rPr>
                <w:rFonts w:cs="Arial"/>
              </w:rPr>
              <w:t>(Directorates) as at 3</w:t>
            </w:r>
            <w:r w:rsidR="009F2E4F">
              <w:rPr>
                <w:rFonts w:cs="Arial"/>
              </w:rPr>
              <w:t>0 September</w:t>
            </w:r>
            <w:r w:rsidR="00E871FD">
              <w:rPr>
                <w:rFonts w:cs="Arial"/>
              </w:rPr>
              <w:t xml:space="preserve"> 2016</w:t>
            </w:r>
            <w:r w:rsidR="006909EA">
              <w:rPr>
                <w:rFonts w:cs="Arial"/>
              </w:rPr>
              <w:t>.</w:t>
            </w:r>
            <w:r w:rsidR="00E871FD">
              <w:rPr>
                <w:rFonts w:cs="Arial"/>
              </w:rPr>
              <w:t xml:space="preserve"> </w:t>
            </w:r>
          </w:p>
          <w:p w14:paraId="61984921" w14:textId="77777777" w:rsidR="00FF509C" w:rsidRPr="006B1DE1" w:rsidRDefault="00FF509C" w:rsidP="00FF509C">
            <w:pPr>
              <w:ind w:left="1506" w:right="489" w:hanging="1506"/>
              <w:rPr>
                <w:rFonts w:cs="Arial"/>
              </w:rPr>
            </w:pPr>
            <w:r w:rsidRPr="006B1DE1">
              <w:rPr>
                <w:rFonts w:cs="Arial"/>
              </w:rPr>
              <w:t>Appendix 2 – MTFS 201</w:t>
            </w:r>
            <w:r w:rsidR="00E871FD">
              <w:rPr>
                <w:rFonts w:cs="Arial"/>
              </w:rPr>
              <w:t>6</w:t>
            </w:r>
            <w:r w:rsidRPr="006B1DE1">
              <w:rPr>
                <w:rFonts w:cs="Arial"/>
              </w:rPr>
              <w:t>/1</w:t>
            </w:r>
            <w:r w:rsidR="00E871FD">
              <w:rPr>
                <w:rFonts w:cs="Arial"/>
              </w:rPr>
              <w:t>7</w:t>
            </w:r>
            <w:r w:rsidRPr="006B1DE1">
              <w:rPr>
                <w:rFonts w:cs="Arial"/>
              </w:rPr>
              <w:t xml:space="preserve"> to 201</w:t>
            </w:r>
            <w:r w:rsidR="00E871FD">
              <w:rPr>
                <w:rFonts w:cs="Arial"/>
              </w:rPr>
              <w:t>9</w:t>
            </w:r>
            <w:r w:rsidRPr="006B1DE1">
              <w:rPr>
                <w:rFonts w:cs="Arial"/>
              </w:rPr>
              <w:t>/</w:t>
            </w:r>
            <w:r w:rsidR="00E871FD">
              <w:rPr>
                <w:rFonts w:cs="Arial"/>
              </w:rPr>
              <w:t>20</w:t>
            </w:r>
          </w:p>
          <w:p w14:paraId="2A3A5E3E" w14:textId="77777777" w:rsidR="00FF509C" w:rsidRDefault="00FF509C" w:rsidP="00FF509C">
            <w:pPr>
              <w:ind w:left="1506" w:right="489" w:hanging="1506"/>
              <w:rPr>
                <w:rFonts w:cs="Arial"/>
              </w:rPr>
            </w:pPr>
            <w:r w:rsidRPr="006B1DE1">
              <w:rPr>
                <w:rFonts w:cs="Arial"/>
              </w:rPr>
              <w:t>Savings Tracker</w:t>
            </w:r>
            <w:r w:rsidR="003C2EB7">
              <w:rPr>
                <w:rFonts w:cs="Arial"/>
              </w:rPr>
              <w:t>.</w:t>
            </w:r>
            <w:r w:rsidR="000C1A07">
              <w:rPr>
                <w:rFonts w:cs="Arial"/>
              </w:rPr>
              <w:t xml:space="preserve"> </w:t>
            </w:r>
          </w:p>
          <w:p w14:paraId="750F8E35" w14:textId="77777777" w:rsidR="006909EA" w:rsidRDefault="003C2EB7" w:rsidP="00E836A2">
            <w:pPr>
              <w:ind w:right="489"/>
              <w:rPr>
                <w:rFonts w:cs="Arial"/>
              </w:rPr>
            </w:pPr>
            <w:r>
              <w:rPr>
                <w:rFonts w:cs="Arial"/>
              </w:rPr>
              <w:t>Appendix 3- Debt Management 2016/17</w:t>
            </w:r>
            <w:r w:rsidR="006909EA">
              <w:rPr>
                <w:rFonts w:cs="Arial"/>
              </w:rPr>
              <w:t>.</w:t>
            </w:r>
          </w:p>
          <w:p w14:paraId="1083283A" w14:textId="77777777" w:rsidR="007635E6" w:rsidRDefault="003C2EB7" w:rsidP="00D325FE">
            <w:pPr>
              <w:ind w:right="489"/>
              <w:rPr>
                <w:rFonts w:cs="Arial"/>
              </w:rPr>
            </w:pPr>
            <w:r>
              <w:rPr>
                <w:rFonts w:cs="Arial"/>
              </w:rPr>
              <w:lastRenderedPageBreak/>
              <w:t>Appendix 4-</w:t>
            </w:r>
            <w:r w:rsidR="009F2E4F">
              <w:rPr>
                <w:rFonts w:cs="Arial"/>
              </w:rPr>
              <w:t xml:space="preserve"> Capital Programme as at 30 September</w:t>
            </w:r>
            <w:r>
              <w:rPr>
                <w:rFonts w:cs="Arial"/>
              </w:rPr>
              <w:t xml:space="preserve"> 2016</w:t>
            </w:r>
            <w:r w:rsidR="007635E6">
              <w:rPr>
                <w:rFonts w:cs="Arial"/>
              </w:rPr>
              <w:t>.</w:t>
            </w:r>
          </w:p>
          <w:p w14:paraId="5D38C714" w14:textId="3218BAD9" w:rsidR="006D2CA4" w:rsidRDefault="006D2CA4" w:rsidP="00D325FE">
            <w:pPr>
              <w:ind w:right="489"/>
              <w:rPr>
                <w:rFonts w:cs="Arial"/>
              </w:rPr>
            </w:pPr>
            <w:r>
              <w:rPr>
                <w:rFonts w:cs="Arial"/>
              </w:rPr>
              <w:t xml:space="preserve">Appendix 5 – Concilium Business Services </w:t>
            </w:r>
            <w:r w:rsidR="00AF2B2C">
              <w:rPr>
                <w:rFonts w:cs="Arial"/>
              </w:rPr>
              <w:t>Performance Report.</w:t>
            </w:r>
            <w:r w:rsidR="00561119">
              <w:rPr>
                <w:rFonts w:cs="Arial"/>
              </w:rPr>
              <w:t>(Part II – Exempt)</w:t>
            </w:r>
            <w:bookmarkStart w:id="0" w:name="_GoBack"/>
            <w:bookmarkEnd w:id="0"/>
          </w:p>
          <w:p w14:paraId="2C4D4186" w14:textId="42F3C083" w:rsidR="00EF3E22" w:rsidRPr="007635E6" w:rsidRDefault="00EF3E22" w:rsidP="00D325FE">
            <w:pPr>
              <w:ind w:right="489"/>
              <w:rPr>
                <w:rFonts w:cs="Arial"/>
              </w:rPr>
            </w:pPr>
          </w:p>
        </w:tc>
      </w:tr>
      <w:tr w:rsidR="00333FAA" w14:paraId="0515A286" w14:textId="77777777" w:rsidTr="00BE3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Pr>
        <w:tc>
          <w:tcPr>
            <w:tcW w:w="8339" w:type="dxa"/>
            <w:gridSpan w:val="2"/>
            <w:tcBorders>
              <w:top w:val="nil"/>
              <w:left w:val="nil"/>
              <w:right w:val="nil"/>
            </w:tcBorders>
          </w:tcPr>
          <w:p w14:paraId="633279A7" w14:textId="77777777" w:rsidR="00333FAA" w:rsidRDefault="00333FAA" w:rsidP="00A53B04">
            <w:pPr>
              <w:pStyle w:val="Heading1"/>
            </w:pPr>
            <w:r>
              <w:lastRenderedPageBreak/>
              <w:t>Section 1 – Summary and Recommendations</w:t>
            </w:r>
          </w:p>
          <w:p w14:paraId="2271DC1A" w14:textId="77777777" w:rsidR="00333FAA" w:rsidRDefault="00333FAA" w:rsidP="00A53B04"/>
        </w:tc>
      </w:tr>
      <w:tr w:rsidR="00333FAA" w14:paraId="63D0B186" w14:textId="77777777" w:rsidTr="00AD2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Height w:val="8499"/>
        </w:trPr>
        <w:tc>
          <w:tcPr>
            <w:tcW w:w="8339" w:type="dxa"/>
            <w:gridSpan w:val="2"/>
          </w:tcPr>
          <w:p w14:paraId="2A089053" w14:textId="3EA4FD9F" w:rsidR="00333FAA" w:rsidRDefault="00333FAA" w:rsidP="00A53B04"/>
          <w:p w14:paraId="259588FC" w14:textId="5FC95963" w:rsidR="00FF509C" w:rsidRPr="00E6369A" w:rsidRDefault="00FF509C" w:rsidP="00FF509C">
            <w:r w:rsidRPr="00E6369A">
              <w:t xml:space="preserve">This report sets out the Council’s revenue and capital monitoring position as at Quarter </w:t>
            </w:r>
            <w:r w:rsidR="006909EA">
              <w:t>2</w:t>
            </w:r>
            <w:r w:rsidRPr="00E6369A">
              <w:t xml:space="preserve"> 201</w:t>
            </w:r>
            <w:r w:rsidR="00CF68B3" w:rsidRPr="00E6369A">
              <w:t>6</w:t>
            </w:r>
            <w:r w:rsidRPr="00E6369A">
              <w:t>/1</w:t>
            </w:r>
            <w:r w:rsidR="00CF68B3" w:rsidRPr="00E6369A">
              <w:t>7</w:t>
            </w:r>
            <w:r w:rsidRPr="00E6369A">
              <w:t xml:space="preserve"> (3</w:t>
            </w:r>
            <w:r w:rsidR="00CF68B3" w:rsidRPr="00E6369A">
              <w:t>0</w:t>
            </w:r>
            <w:r w:rsidRPr="00E6369A">
              <w:t xml:space="preserve"> </w:t>
            </w:r>
            <w:r w:rsidR="009F2E4F">
              <w:t>September</w:t>
            </w:r>
            <w:r w:rsidR="00CF68B3" w:rsidRPr="00E6369A">
              <w:t xml:space="preserve"> 2016</w:t>
            </w:r>
            <w:r w:rsidRPr="00E6369A">
              <w:t>).</w:t>
            </w:r>
          </w:p>
          <w:p w14:paraId="74B4F44D" w14:textId="77777777" w:rsidR="00FF509C" w:rsidRPr="00E6369A" w:rsidRDefault="00FF509C" w:rsidP="00FF509C"/>
          <w:p w14:paraId="5D0D161F" w14:textId="77777777" w:rsidR="00FF509C" w:rsidRPr="00E6369A" w:rsidRDefault="00FF509C" w:rsidP="00FF509C">
            <w:pPr>
              <w:pStyle w:val="Heading2"/>
            </w:pPr>
            <w:r w:rsidRPr="00E6369A">
              <w:t xml:space="preserve">Recommendations: </w:t>
            </w:r>
          </w:p>
          <w:p w14:paraId="5A168F88" w14:textId="77777777" w:rsidR="00FF509C" w:rsidRPr="00E6369A" w:rsidRDefault="00FF509C" w:rsidP="00FF509C"/>
          <w:p w14:paraId="2E8D404E" w14:textId="3B17CA6A" w:rsidR="00FF509C" w:rsidRDefault="00FF509C" w:rsidP="00173DA5">
            <w:pPr>
              <w:pStyle w:val="ListParagraph"/>
              <w:numPr>
                <w:ilvl w:val="0"/>
                <w:numId w:val="1"/>
              </w:numPr>
            </w:pPr>
            <w:r w:rsidRPr="00E6369A">
              <w:t>That Cabinet note the revenue and capital forecast positions detailed in this report as at Quarter</w:t>
            </w:r>
            <w:r w:rsidR="009F2E4F">
              <w:t xml:space="preserve"> 2</w:t>
            </w:r>
            <w:r w:rsidRPr="00E6369A">
              <w:t xml:space="preserve"> 201</w:t>
            </w:r>
            <w:r w:rsidR="00CF68B3" w:rsidRPr="00E6369A">
              <w:t>6</w:t>
            </w:r>
            <w:r w:rsidRPr="00E6369A">
              <w:t>/1</w:t>
            </w:r>
            <w:r w:rsidR="00CF68B3" w:rsidRPr="00E6369A">
              <w:t>7</w:t>
            </w:r>
            <w:r w:rsidRPr="00E6369A">
              <w:t>.</w:t>
            </w:r>
          </w:p>
          <w:p w14:paraId="16078C7C" w14:textId="77777777" w:rsidR="00BE36D5" w:rsidRDefault="00BE36D5" w:rsidP="00BE36D5">
            <w:pPr>
              <w:pStyle w:val="ListParagraph"/>
            </w:pPr>
          </w:p>
          <w:p w14:paraId="3D0643F4" w14:textId="2FB4D386" w:rsidR="00BE36D5" w:rsidRDefault="00BE36D5" w:rsidP="00BE36D5">
            <w:pPr>
              <w:pStyle w:val="ListParagraph"/>
              <w:numPr>
                <w:ilvl w:val="0"/>
                <w:numId w:val="1"/>
              </w:numPr>
            </w:pPr>
            <w:r>
              <w:t>Note the latest quarter’s performance report from Concilium Business Service as specified in Appendix 5 (Part II report).</w:t>
            </w:r>
          </w:p>
          <w:p w14:paraId="0A37BF13" w14:textId="77777777" w:rsidR="00B672AF" w:rsidRDefault="00B672AF" w:rsidP="00B672AF">
            <w:pPr>
              <w:pStyle w:val="ListParagraph"/>
            </w:pPr>
          </w:p>
          <w:p w14:paraId="22974BCB" w14:textId="4D99DBE2" w:rsidR="006A74EC" w:rsidRDefault="006A74EC" w:rsidP="00173DA5">
            <w:pPr>
              <w:pStyle w:val="ListParagraph"/>
              <w:numPr>
                <w:ilvl w:val="0"/>
                <w:numId w:val="1"/>
              </w:numPr>
            </w:pPr>
            <w:r w:rsidRPr="006A74EC">
              <w:t>Authorise the Corporate Director of Resources and Commercial, following consultation with the Portfolio Holder for Finance and Commercialisation</w:t>
            </w:r>
            <w:r w:rsidR="00570826">
              <w:t>,</w:t>
            </w:r>
            <w:r w:rsidRPr="006A74EC">
              <w:t xml:space="preserve"> to approve the varying of Concilium Business Services shareholders agreement via an appropriate Deed of Variation in line with the details within this report</w:t>
            </w:r>
            <w:r>
              <w:t>.</w:t>
            </w:r>
          </w:p>
          <w:p w14:paraId="115220A3" w14:textId="77777777" w:rsidR="00B672AF" w:rsidRDefault="00B672AF" w:rsidP="00B672AF">
            <w:pPr>
              <w:pStyle w:val="ListParagraph"/>
            </w:pPr>
          </w:p>
          <w:p w14:paraId="121805D8" w14:textId="12CB834D" w:rsidR="00417C41" w:rsidRDefault="00417C41" w:rsidP="00173DA5">
            <w:pPr>
              <w:pStyle w:val="ListParagraph"/>
              <w:numPr>
                <w:ilvl w:val="0"/>
                <w:numId w:val="1"/>
              </w:numPr>
            </w:pPr>
            <w:r w:rsidRPr="00417C41">
              <w:t>That Cabinet note the proposed reduction to the 2016/17 Capital Programme as outline</w:t>
            </w:r>
            <w:r w:rsidR="00D90114">
              <w:t>d</w:t>
            </w:r>
            <w:r w:rsidRPr="00417C41">
              <w:t xml:space="preserve"> in paragraph 3.10 to 3.13</w:t>
            </w:r>
            <w:r>
              <w:t>.</w:t>
            </w:r>
          </w:p>
          <w:p w14:paraId="04934BD3" w14:textId="77777777" w:rsidR="00B672AF" w:rsidRDefault="00B672AF" w:rsidP="00B672AF">
            <w:pPr>
              <w:pStyle w:val="ListParagraph"/>
            </w:pPr>
          </w:p>
          <w:p w14:paraId="7BE8B963" w14:textId="2478E5D5" w:rsidR="005B13A9" w:rsidRPr="006A74EC" w:rsidRDefault="00FB5C5B" w:rsidP="00173DA5">
            <w:pPr>
              <w:pStyle w:val="ListParagraph"/>
              <w:numPr>
                <w:ilvl w:val="0"/>
                <w:numId w:val="1"/>
              </w:numPr>
            </w:pPr>
            <w:r w:rsidRPr="006A74EC">
              <w:t>That Cabinet approve</w:t>
            </w:r>
            <w:r w:rsidR="005308D0">
              <w:t xml:space="preserve"> the </w:t>
            </w:r>
            <w:r w:rsidR="00252E7B">
              <w:t xml:space="preserve">addition </w:t>
            </w:r>
            <w:r w:rsidR="00252E7B" w:rsidRPr="006A74EC">
              <w:t>to</w:t>
            </w:r>
            <w:r w:rsidRPr="006A74EC">
              <w:t xml:space="preserve"> </w:t>
            </w:r>
            <w:r w:rsidR="00D068D3" w:rsidRPr="006A74EC">
              <w:t xml:space="preserve">2016/17 </w:t>
            </w:r>
            <w:r w:rsidR="000743C7" w:rsidRPr="006A74EC">
              <w:t>C</w:t>
            </w:r>
            <w:r w:rsidRPr="006A74EC">
              <w:t xml:space="preserve">apital </w:t>
            </w:r>
            <w:r w:rsidR="000743C7" w:rsidRPr="006A74EC">
              <w:t>P</w:t>
            </w:r>
            <w:r w:rsidRPr="006A74EC">
              <w:t xml:space="preserve">rogramme as </w:t>
            </w:r>
            <w:r w:rsidR="003A1CD0" w:rsidRPr="006A74EC">
              <w:t>outline</w:t>
            </w:r>
            <w:r w:rsidR="00D90114">
              <w:t>d</w:t>
            </w:r>
            <w:r w:rsidR="003A1CD0" w:rsidRPr="006A74EC">
              <w:t xml:space="preserve"> </w:t>
            </w:r>
            <w:r w:rsidRPr="006A74EC">
              <w:t xml:space="preserve">in Paragraph </w:t>
            </w:r>
            <w:r w:rsidR="00252E7B">
              <w:t>3.20, 3.4</w:t>
            </w:r>
            <w:r w:rsidR="007635E6">
              <w:t>3</w:t>
            </w:r>
            <w:r w:rsidR="00252E7B">
              <w:t xml:space="preserve"> and 3.4</w:t>
            </w:r>
            <w:r w:rsidR="007635E6">
              <w:t>4</w:t>
            </w:r>
            <w:r w:rsidR="00B25D53">
              <w:t>.</w:t>
            </w:r>
          </w:p>
          <w:p w14:paraId="7BFD290E" w14:textId="3AA5360E" w:rsidR="00262389" w:rsidRPr="00E6369A" w:rsidRDefault="003D2CC8" w:rsidP="00E836A2">
            <w:pPr>
              <w:pStyle w:val="ListParagraph"/>
            </w:pPr>
            <w:r w:rsidRPr="006A74EC">
              <w:t>.</w:t>
            </w:r>
          </w:p>
          <w:p w14:paraId="0673A1B3" w14:textId="77777777" w:rsidR="00FF509C" w:rsidRPr="00E6369A" w:rsidRDefault="00FF509C" w:rsidP="00FF509C">
            <w:r w:rsidRPr="00E6369A">
              <w:tab/>
            </w:r>
          </w:p>
          <w:p w14:paraId="1D0F13EA" w14:textId="77777777" w:rsidR="00FF509C" w:rsidRPr="00E6369A" w:rsidRDefault="00FF509C" w:rsidP="00FF509C">
            <w:pPr>
              <w:rPr>
                <w:b/>
                <w:sz w:val="28"/>
                <w:szCs w:val="28"/>
              </w:rPr>
            </w:pPr>
            <w:r w:rsidRPr="00E6369A">
              <w:rPr>
                <w:b/>
                <w:sz w:val="28"/>
                <w:szCs w:val="28"/>
              </w:rPr>
              <w:t>Reason:  (For recommendation )</w:t>
            </w:r>
          </w:p>
          <w:p w14:paraId="667BC136" w14:textId="27B8BD4F" w:rsidR="00333FAA" w:rsidRDefault="00FF509C" w:rsidP="00FF509C">
            <w:r w:rsidRPr="00E6369A">
              <w:t>To report the 201</w:t>
            </w:r>
            <w:r w:rsidR="00CF68B3" w:rsidRPr="00E6369A">
              <w:t>6</w:t>
            </w:r>
            <w:r w:rsidRPr="00E6369A">
              <w:t>/1</w:t>
            </w:r>
            <w:r w:rsidR="00CF68B3" w:rsidRPr="00E6369A">
              <w:t>7</w:t>
            </w:r>
            <w:r w:rsidRPr="00E6369A">
              <w:t xml:space="preserve"> forecast financial position as at 3</w:t>
            </w:r>
            <w:r w:rsidR="009F2E4F">
              <w:t xml:space="preserve">0 </w:t>
            </w:r>
            <w:r w:rsidR="00F84DDA">
              <w:t>September</w:t>
            </w:r>
            <w:r w:rsidR="008009C5" w:rsidRPr="00E6369A">
              <w:t xml:space="preserve"> 2016</w:t>
            </w:r>
            <w:r w:rsidR="0096570D" w:rsidRPr="00E6369A">
              <w:t xml:space="preserve"> and to seek approval for budget adjustments which re</w:t>
            </w:r>
            <w:r w:rsidR="00953298">
              <w:t>quire Cabinet approval in accordance with</w:t>
            </w:r>
            <w:r w:rsidR="0096570D" w:rsidRPr="00E6369A">
              <w:t xml:space="preserve"> Financial Regulations.</w:t>
            </w:r>
          </w:p>
          <w:p w14:paraId="34B02037" w14:textId="77777777" w:rsidR="00333FAA" w:rsidRDefault="00333FAA" w:rsidP="00A53B04">
            <w:pPr>
              <w:jc w:val="both"/>
              <w:rPr>
                <w:rFonts w:cs="Arial"/>
              </w:rPr>
            </w:pPr>
          </w:p>
        </w:tc>
      </w:tr>
    </w:tbl>
    <w:p w14:paraId="58374FD3" w14:textId="77777777" w:rsidR="00F9680A" w:rsidRDefault="00F9680A" w:rsidP="00741AEB">
      <w:pPr>
        <w:pStyle w:val="Heading1"/>
      </w:pPr>
    </w:p>
    <w:p w14:paraId="5CFE2BF1" w14:textId="77777777" w:rsidR="00741AEB" w:rsidRDefault="00741AEB" w:rsidP="00741AEB">
      <w:pPr>
        <w:pStyle w:val="Heading1"/>
      </w:pPr>
      <w:r w:rsidRPr="006B1DE1">
        <w:t>Section 2 – Report</w:t>
      </w:r>
    </w:p>
    <w:p w14:paraId="1DE891AC" w14:textId="77777777" w:rsidR="004F7602" w:rsidRDefault="004F7602" w:rsidP="00AF1127"/>
    <w:p w14:paraId="7E293425" w14:textId="77777777" w:rsidR="00D258AC" w:rsidRPr="00835EA0" w:rsidRDefault="00FA5D52" w:rsidP="00D73C5B">
      <w:pPr>
        <w:pStyle w:val="ListParagraph"/>
        <w:keepNext/>
        <w:numPr>
          <w:ilvl w:val="1"/>
          <w:numId w:val="5"/>
        </w:numPr>
        <w:spacing w:after="240"/>
        <w:ind w:left="709" w:hanging="709"/>
        <w:outlineLvl w:val="1"/>
        <w:rPr>
          <w:rFonts w:cs="Arial"/>
          <w:b/>
          <w:bCs/>
          <w:kern w:val="32"/>
          <w:sz w:val="28"/>
          <w:szCs w:val="28"/>
          <w:u w:val="single"/>
        </w:rPr>
      </w:pPr>
      <w:r w:rsidRPr="00835EA0">
        <w:rPr>
          <w:rFonts w:cs="Arial"/>
          <w:b/>
          <w:bCs/>
          <w:kern w:val="32"/>
          <w:sz w:val="28"/>
          <w:szCs w:val="28"/>
          <w:u w:val="single"/>
        </w:rPr>
        <w:t>INTRODUCTION</w:t>
      </w:r>
    </w:p>
    <w:p w14:paraId="7E45F61A" w14:textId="7A52DA83" w:rsidR="00953298" w:rsidRDefault="00FA5D52" w:rsidP="00FA683C">
      <w:pPr>
        <w:pStyle w:val="ListParagraph"/>
        <w:numPr>
          <w:ilvl w:val="2"/>
          <w:numId w:val="29"/>
        </w:numPr>
        <w:spacing w:after="120"/>
        <w:jc w:val="both"/>
      </w:pPr>
      <w:r w:rsidRPr="00D258AC">
        <w:t>The net forecast position</w:t>
      </w:r>
      <w:r w:rsidR="0041077E" w:rsidRPr="00D258AC">
        <w:t xml:space="preserve"> at Quarter </w:t>
      </w:r>
      <w:r w:rsidR="00F84DDA">
        <w:t>2</w:t>
      </w:r>
      <w:r w:rsidR="0041077E" w:rsidRPr="00D258AC">
        <w:t xml:space="preserve"> on </w:t>
      </w:r>
      <w:r w:rsidR="004F7602" w:rsidRPr="00D258AC">
        <w:t>r</w:t>
      </w:r>
      <w:r w:rsidR="00C43C44">
        <w:t xml:space="preserve">evenue is </w:t>
      </w:r>
      <w:r w:rsidR="00D52D46" w:rsidRPr="00D258AC">
        <w:t>an</w:t>
      </w:r>
      <w:r w:rsidR="0041077E" w:rsidRPr="00D258AC">
        <w:t xml:space="preserve"> </w:t>
      </w:r>
      <w:r w:rsidR="00B54070" w:rsidRPr="00D258AC">
        <w:t xml:space="preserve">estimated pressure </w:t>
      </w:r>
      <w:r w:rsidR="00F0774E" w:rsidRPr="00D258AC">
        <w:t>of</w:t>
      </w:r>
      <w:r w:rsidR="00B54070" w:rsidRPr="00D258AC">
        <w:t xml:space="preserve"> </w:t>
      </w:r>
      <w:r w:rsidR="00F0774E" w:rsidRPr="00D258AC">
        <w:t>£</w:t>
      </w:r>
      <w:r w:rsidR="00F84DDA">
        <w:t>8.539</w:t>
      </w:r>
      <w:r w:rsidR="00972F70" w:rsidRPr="00D258AC">
        <w:t xml:space="preserve">m </w:t>
      </w:r>
      <w:r w:rsidR="0041077E" w:rsidRPr="00D258AC">
        <w:t xml:space="preserve">on </w:t>
      </w:r>
      <w:r w:rsidR="004F7602" w:rsidRPr="00D258AC">
        <w:t>d</w:t>
      </w:r>
      <w:r w:rsidR="0041077E" w:rsidRPr="00D258AC">
        <w:t>irectorate budgets</w:t>
      </w:r>
      <w:r w:rsidR="00D645B0" w:rsidRPr="00D258AC">
        <w:t>, after mitigating actions of £</w:t>
      </w:r>
      <w:r w:rsidR="00F84DDA">
        <w:t>2.551</w:t>
      </w:r>
      <w:r w:rsidR="00D645B0" w:rsidRPr="00D258AC">
        <w:t>m have been allowed for</w:t>
      </w:r>
      <w:r w:rsidR="00354BAA" w:rsidRPr="00D258AC">
        <w:t xml:space="preserve">. </w:t>
      </w:r>
      <w:r w:rsidR="000F0621" w:rsidRPr="00D258AC">
        <w:t xml:space="preserve">This </w:t>
      </w:r>
      <w:r w:rsidR="0041077E" w:rsidRPr="00D258AC">
        <w:t xml:space="preserve">reduces to </w:t>
      </w:r>
      <w:r w:rsidR="00F0774E" w:rsidRPr="00D258AC">
        <w:t>£</w:t>
      </w:r>
      <w:r w:rsidR="00F84DDA">
        <w:t>3.849</w:t>
      </w:r>
      <w:r w:rsidR="00F0774E" w:rsidRPr="00D258AC">
        <w:t>m</w:t>
      </w:r>
      <w:r w:rsidR="00935F3A" w:rsidRPr="00D258AC">
        <w:t xml:space="preserve"> after</w:t>
      </w:r>
      <w:r w:rsidR="00A55425" w:rsidRPr="00D258AC">
        <w:t xml:space="preserve"> the</w:t>
      </w:r>
      <w:r w:rsidR="00935F3A" w:rsidRPr="00D258AC">
        <w:t xml:space="preserve"> assumed use of </w:t>
      </w:r>
      <w:r w:rsidR="004F7602" w:rsidRPr="00D258AC">
        <w:t xml:space="preserve">the central </w:t>
      </w:r>
      <w:r w:rsidR="00F0774E" w:rsidRPr="00D258AC">
        <w:t xml:space="preserve">contingency budget </w:t>
      </w:r>
      <w:r w:rsidR="002A2E47">
        <w:t>(</w:t>
      </w:r>
      <w:r w:rsidR="00AC2BAA">
        <w:t>£1.329</w:t>
      </w:r>
      <w:r w:rsidR="00F0774E" w:rsidRPr="00D258AC">
        <w:t>m</w:t>
      </w:r>
      <w:r w:rsidR="00F84DDA">
        <w:t>), the use of the</w:t>
      </w:r>
      <w:r w:rsidR="00A55425" w:rsidRPr="00D258AC">
        <w:t xml:space="preserve"> </w:t>
      </w:r>
      <w:r w:rsidR="00D74F9F" w:rsidRPr="00D258AC">
        <w:t>Welfare reform</w:t>
      </w:r>
      <w:r w:rsidR="00B54070" w:rsidRPr="00D258AC">
        <w:t xml:space="preserve"> </w:t>
      </w:r>
      <w:r w:rsidR="00F84DDA">
        <w:t xml:space="preserve">and Homelessness </w:t>
      </w:r>
      <w:r w:rsidR="00B54070" w:rsidRPr="00D258AC">
        <w:t>r</w:t>
      </w:r>
      <w:r w:rsidR="00D74F9F" w:rsidRPr="00D258AC">
        <w:t>eserve</w:t>
      </w:r>
      <w:r w:rsidR="00E46742">
        <w:t>s</w:t>
      </w:r>
      <w:r w:rsidR="00F84DDA">
        <w:t xml:space="preserve"> (£2</w:t>
      </w:r>
      <w:r w:rsidR="004F7602" w:rsidRPr="00D258AC">
        <w:t>m)</w:t>
      </w:r>
      <w:r w:rsidR="00953298">
        <w:t>,</w:t>
      </w:r>
      <w:r w:rsidR="00AC2BAA">
        <w:t xml:space="preserve"> </w:t>
      </w:r>
      <w:r w:rsidR="00953298">
        <w:t>containment of r</w:t>
      </w:r>
      <w:r w:rsidR="00321915" w:rsidRPr="00321915">
        <w:t xml:space="preserve">egeneration </w:t>
      </w:r>
      <w:r w:rsidR="00E46742">
        <w:t>related expenditure within the r</w:t>
      </w:r>
      <w:r w:rsidR="00321915" w:rsidRPr="00321915">
        <w:t>egen</w:t>
      </w:r>
      <w:r w:rsidR="00953298">
        <w:t>eration</w:t>
      </w:r>
      <w:r w:rsidR="00321915" w:rsidRPr="00321915">
        <w:t xml:space="preserve"> model</w:t>
      </w:r>
      <w:r w:rsidR="00D90114">
        <w:t xml:space="preserve"> </w:t>
      </w:r>
      <w:r w:rsidR="00321915" w:rsidRPr="00321915">
        <w:t>(£595k</w:t>
      </w:r>
      <w:r w:rsidR="00321915">
        <w:t>)</w:t>
      </w:r>
      <w:r w:rsidR="00577A02" w:rsidRPr="00D258AC">
        <w:t xml:space="preserve"> and </w:t>
      </w:r>
      <w:r w:rsidR="004F7602" w:rsidRPr="00D258AC">
        <w:t>an</w:t>
      </w:r>
      <w:r w:rsidR="00F84DDA">
        <w:t xml:space="preserve"> </w:t>
      </w:r>
      <w:r w:rsidR="005B4870">
        <w:t>underspend against Corporate budget</w:t>
      </w:r>
      <w:r w:rsidR="00953298">
        <w:t>s</w:t>
      </w:r>
      <w:r w:rsidR="005B4870">
        <w:t xml:space="preserve"> o</w:t>
      </w:r>
      <w:r w:rsidR="00F84DDA">
        <w:t xml:space="preserve">f (£766k). </w:t>
      </w:r>
      <w:r w:rsidR="00F84DDA">
        <w:lastRenderedPageBreak/>
        <w:t xml:space="preserve">The £3.849m </w:t>
      </w:r>
      <w:r w:rsidR="005B4870">
        <w:t xml:space="preserve">position </w:t>
      </w:r>
      <w:r w:rsidR="00953298">
        <w:t xml:space="preserve">is broadly in line with the Quarter 1 forecast position. </w:t>
      </w:r>
    </w:p>
    <w:p w14:paraId="75DA8EC7" w14:textId="175BC0A5" w:rsidR="008D4ADA" w:rsidRPr="00E6369A" w:rsidRDefault="008D4ADA" w:rsidP="00FA683C">
      <w:pPr>
        <w:pStyle w:val="ListParagraph"/>
        <w:numPr>
          <w:ilvl w:val="2"/>
          <w:numId w:val="26"/>
        </w:numPr>
        <w:tabs>
          <w:tab w:val="left" w:pos="7938"/>
        </w:tabs>
        <w:spacing w:after="120"/>
        <w:jc w:val="both"/>
      </w:pPr>
      <w:r w:rsidRPr="00E6369A">
        <w:t xml:space="preserve">The capital programme is reporting </w:t>
      </w:r>
      <w:r w:rsidR="00953298">
        <w:t xml:space="preserve">a </w:t>
      </w:r>
      <w:r w:rsidR="005B4870">
        <w:t>forecast</w:t>
      </w:r>
      <w:r w:rsidR="006F382F">
        <w:t xml:space="preserve"> </w:t>
      </w:r>
      <w:r w:rsidR="00953298">
        <w:t xml:space="preserve">spend </w:t>
      </w:r>
      <w:r w:rsidR="006F382F">
        <w:t>of £112.693m against a budget of £171.739</w:t>
      </w:r>
      <w:r w:rsidRPr="00E6369A">
        <w:t>m.  This represe</w:t>
      </w:r>
      <w:r w:rsidR="006F382F">
        <w:t>nts a total forecast spend of 66</w:t>
      </w:r>
      <w:r w:rsidRPr="00E6369A">
        <w:t>%. In terms of general fund capital</w:t>
      </w:r>
      <w:r w:rsidR="006F382F">
        <w:t>, there is a forecast of</w:t>
      </w:r>
      <w:r w:rsidR="00953298">
        <w:t xml:space="preserve"> spend</w:t>
      </w:r>
      <w:r w:rsidR="005B4870">
        <w:t xml:space="preserve"> £95.294m </w:t>
      </w:r>
      <w:r w:rsidR="00953298">
        <w:t xml:space="preserve">against a budget of £141.916m. </w:t>
      </w:r>
      <w:r w:rsidR="00E46742">
        <w:t>Of t</w:t>
      </w:r>
      <w:r w:rsidR="005B4870">
        <w:t xml:space="preserve">he </w:t>
      </w:r>
      <w:r w:rsidR="00953298">
        <w:t>variance of £46.623m underspends,</w:t>
      </w:r>
      <w:r w:rsidR="006F382F">
        <w:t xml:space="preserve"> £41.698</w:t>
      </w:r>
      <w:r w:rsidRPr="00E6369A">
        <w:t>m is requested for slippage into 2017/18 and</w:t>
      </w:r>
      <w:r w:rsidR="00321915">
        <w:t xml:space="preserve"> </w:t>
      </w:r>
      <w:r w:rsidRPr="00E6369A">
        <w:t>£</w:t>
      </w:r>
      <w:r w:rsidR="006F382F">
        <w:t>4.925m</w:t>
      </w:r>
      <w:r w:rsidRPr="00E6369A">
        <w:t xml:space="preserve"> </w:t>
      </w:r>
      <w:r w:rsidR="00321915">
        <w:t>represent</w:t>
      </w:r>
      <w:r w:rsidR="005B4870">
        <w:t>s</w:t>
      </w:r>
      <w:r w:rsidR="00321915">
        <w:t xml:space="preserve"> </w:t>
      </w:r>
      <w:r w:rsidR="00A35188">
        <w:t>capital budget that is no longer require</w:t>
      </w:r>
      <w:r w:rsidR="005D1119">
        <w:t>d</w:t>
      </w:r>
      <w:r w:rsidR="00A35188">
        <w:t>.</w:t>
      </w:r>
      <w:r w:rsidRPr="00E6369A">
        <w:t xml:space="preserve"> For the HR</w:t>
      </w:r>
      <w:r w:rsidR="001B7156">
        <w:t>A, an underspend of £12.4</w:t>
      </w:r>
      <w:r w:rsidRPr="00E6369A">
        <w:t>2</w:t>
      </w:r>
      <w:r w:rsidR="001B7156">
        <w:t>3</w:t>
      </w:r>
      <w:r w:rsidRPr="00E6369A">
        <w:t xml:space="preserve">m is forecast which </w:t>
      </w:r>
      <w:r w:rsidR="00953298">
        <w:t>is reques</w:t>
      </w:r>
      <w:r w:rsidR="001D70DB">
        <w:t>ted for slippage in full to</w:t>
      </w:r>
      <w:r w:rsidR="00E46742">
        <w:t xml:space="preserve"> 2017</w:t>
      </w:r>
      <w:r w:rsidR="00953298">
        <w:t>/18.</w:t>
      </w:r>
      <w:r w:rsidRPr="00E6369A">
        <w:t xml:space="preserve"> </w:t>
      </w:r>
    </w:p>
    <w:p w14:paraId="5CA45217" w14:textId="35FA477E" w:rsidR="00E36ECB" w:rsidRPr="00E6369A" w:rsidRDefault="00953298" w:rsidP="00E836A2">
      <w:pPr>
        <w:spacing w:after="240"/>
      </w:pPr>
      <w:r>
        <w:t>(Please note</w:t>
      </w:r>
      <w:r w:rsidR="00D325FE">
        <w:t>,</w:t>
      </w:r>
      <w:r>
        <w:t xml:space="preserve"> </w:t>
      </w:r>
      <w:r w:rsidR="00D325FE">
        <w:t>all number</w:t>
      </w:r>
      <w:r w:rsidR="001D70DB">
        <w:t>s</w:t>
      </w:r>
      <w:r w:rsidR="00D325FE">
        <w:t xml:space="preserve"> in brackets relates to income/underspends)</w:t>
      </w:r>
    </w:p>
    <w:p w14:paraId="26EE287B" w14:textId="77777777" w:rsidR="00741AEB" w:rsidRDefault="00835EA0" w:rsidP="007D291B">
      <w:pPr>
        <w:keepNext/>
        <w:outlineLvl w:val="1"/>
        <w:rPr>
          <w:rFonts w:cs="Arial"/>
          <w:b/>
          <w:bCs/>
          <w:kern w:val="32"/>
          <w:sz w:val="28"/>
          <w:szCs w:val="28"/>
          <w:u w:val="single"/>
        </w:rPr>
      </w:pPr>
      <w:r>
        <w:rPr>
          <w:rFonts w:cs="Arial"/>
          <w:b/>
          <w:bCs/>
          <w:kern w:val="32"/>
          <w:sz w:val="28"/>
          <w:szCs w:val="28"/>
        </w:rPr>
        <w:t>2.</w:t>
      </w:r>
      <w:r w:rsidR="00797973" w:rsidRPr="00835EA0">
        <w:rPr>
          <w:rFonts w:cs="Arial"/>
          <w:b/>
          <w:bCs/>
          <w:kern w:val="32"/>
          <w:sz w:val="28"/>
          <w:szCs w:val="28"/>
        </w:rPr>
        <w:t xml:space="preserve">  </w:t>
      </w:r>
      <w:r w:rsidR="00741AEB" w:rsidRPr="00835EA0">
        <w:rPr>
          <w:rFonts w:cs="Arial"/>
          <w:b/>
          <w:bCs/>
          <w:kern w:val="32"/>
          <w:sz w:val="28"/>
          <w:szCs w:val="28"/>
          <w:u w:val="single"/>
        </w:rPr>
        <w:t>REVENUE MONITORING</w:t>
      </w:r>
    </w:p>
    <w:p w14:paraId="366A4BC4" w14:textId="77777777" w:rsidR="007D291B" w:rsidRPr="00835EA0" w:rsidRDefault="007D291B" w:rsidP="007D291B">
      <w:pPr>
        <w:keepNext/>
        <w:outlineLvl w:val="1"/>
        <w:rPr>
          <w:rFonts w:cs="Arial"/>
          <w:b/>
          <w:bCs/>
          <w:kern w:val="32"/>
          <w:sz w:val="28"/>
          <w:szCs w:val="28"/>
          <w:u w:val="single"/>
        </w:rPr>
      </w:pPr>
    </w:p>
    <w:p w14:paraId="621D2C0D" w14:textId="3AF3CF73" w:rsidR="00D258AC" w:rsidRPr="002B11DD" w:rsidRDefault="00D258AC" w:rsidP="00FA683C">
      <w:pPr>
        <w:pStyle w:val="ListParagraph"/>
        <w:numPr>
          <w:ilvl w:val="1"/>
          <w:numId w:val="6"/>
        </w:numPr>
        <w:ind w:left="709" w:hanging="709"/>
        <w:jc w:val="both"/>
      </w:pPr>
      <w:r w:rsidRPr="00D258AC">
        <w:rPr>
          <w:bCs/>
        </w:rPr>
        <w:t xml:space="preserve">It is crucial to </w:t>
      </w:r>
      <w:r w:rsidR="007D291B">
        <w:rPr>
          <w:bCs/>
        </w:rPr>
        <w:t>balance the 2016/17 budget whilst</w:t>
      </w:r>
      <w:r w:rsidRPr="00D258AC">
        <w:rPr>
          <w:bCs/>
        </w:rPr>
        <w:t xml:space="preserve"> doing everything </w:t>
      </w:r>
      <w:r w:rsidR="002E02D3">
        <w:rPr>
          <w:bCs/>
        </w:rPr>
        <w:t>possible</w:t>
      </w:r>
      <w:r w:rsidRPr="00D258AC">
        <w:rPr>
          <w:bCs/>
        </w:rPr>
        <w:t xml:space="preserve"> to protect frontline services. To achie</w:t>
      </w:r>
      <w:r w:rsidR="002E02D3">
        <w:rPr>
          <w:bCs/>
        </w:rPr>
        <w:t>ve this,</w:t>
      </w:r>
      <w:r w:rsidRPr="00D258AC">
        <w:rPr>
          <w:bCs/>
        </w:rPr>
        <w:t xml:space="preserve"> a plan </w:t>
      </w:r>
      <w:r w:rsidR="002E02D3">
        <w:rPr>
          <w:bCs/>
        </w:rPr>
        <w:t xml:space="preserve">is </w:t>
      </w:r>
      <w:r w:rsidR="00D325FE">
        <w:rPr>
          <w:bCs/>
        </w:rPr>
        <w:t xml:space="preserve">in </w:t>
      </w:r>
      <w:r w:rsidR="002E02D3">
        <w:rPr>
          <w:bCs/>
        </w:rPr>
        <w:t xml:space="preserve">place </w:t>
      </w:r>
      <w:r w:rsidRPr="00D258AC">
        <w:rPr>
          <w:bCs/>
        </w:rPr>
        <w:t>to be as lean and efficient as possible. Specifically, this include</w:t>
      </w:r>
      <w:r w:rsidR="00D325FE">
        <w:rPr>
          <w:bCs/>
        </w:rPr>
        <w:t>s</w:t>
      </w:r>
      <w:r w:rsidRPr="00D258AC">
        <w:rPr>
          <w:bCs/>
        </w:rPr>
        <w:t xml:space="preserve"> the implem</w:t>
      </w:r>
      <w:r w:rsidR="00D325FE">
        <w:rPr>
          <w:bCs/>
        </w:rPr>
        <w:t xml:space="preserve">entation of spending controls, </w:t>
      </w:r>
      <w:r w:rsidRPr="00D258AC">
        <w:rPr>
          <w:bCs/>
        </w:rPr>
        <w:t>review</w:t>
      </w:r>
      <w:r w:rsidR="00D325FE">
        <w:rPr>
          <w:bCs/>
        </w:rPr>
        <w:t>s</w:t>
      </w:r>
      <w:r w:rsidRPr="00D258AC">
        <w:rPr>
          <w:bCs/>
        </w:rPr>
        <w:t xml:space="preserve"> of non-essential spend, the improved use of assets, and</w:t>
      </w:r>
      <w:r w:rsidR="002E02D3">
        <w:rPr>
          <w:bCs/>
        </w:rPr>
        <w:t xml:space="preserve"> a</w:t>
      </w:r>
      <w:r w:rsidRPr="00D258AC">
        <w:rPr>
          <w:bCs/>
        </w:rPr>
        <w:t xml:space="preserve"> range of other efficiency and effectiveness initiatives</w:t>
      </w:r>
      <w:r>
        <w:rPr>
          <w:bCs/>
        </w:rPr>
        <w:t>.</w:t>
      </w:r>
    </w:p>
    <w:p w14:paraId="696F5EC4" w14:textId="77777777" w:rsidR="002B11DD" w:rsidRPr="00D258AC" w:rsidRDefault="002B11DD" w:rsidP="002B11DD">
      <w:pPr>
        <w:pStyle w:val="ListParagraph"/>
        <w:ind w:left="709" w:right="185"/>
        <w:jc w:val="both"/>
      </w:pPr>
    </w:p>
    <w:p w14:paraId="142FD18E" w14:textId="6FB24E39" w:rsidR="00262389" w:rsidRDefault="001B7156" w:rsidP="00F650D7">
      <w:pPr>
        <w:pStyle w:val="ListParagraph"/>
        <w:numPr>
          <w:ilvl w:val="1"/>
          <w:numId w:val="6"/>
        </w:numPr>
        <w:ind w:right="185" w:hanging="831"/>
        <w:jc w:val="both"/>
      </w:pPr>
      <w:r>
        <w:t>A summary of the quarter 2</w:t>
      </w:r>
      <w:r w:rsidR="00B54070">
        <w:t xml:space="preserve"> monitoring is shown in </w:t>
      </w:r>
      <w:r w:rsidR="00D325FE">
        <w:t xml:space="preserve">1 </w:t>
      </w:r>
      <w:r w:rsidR="00B54070">
        <w:t>table below:</w:t>
      </w:r>
    </w:p>
    <w:p w14:paraId="08775D40" w14:textId="77777777" w:rsidR="007D291B" w:rsidRDefault="007D291B" w:rsidP="007D291B">
      <w:pPr>
        <w:pStyle w:val="ListParagraph"/>
        <w:ind w:left="689"/>
        <w:jc w:val="both"/>
      </w:pPr>
    </w:p>
    <w:p w14:paraId="1ADCF8D2" w14:textId="2A9A407A" w:rsidR="00741AEB" w:rsidRDefault="00741AEB" w:rsidP="00BB7370">
      <w:pPr>
        <w:rPr>
          <w:rFonts w:cs="Arial"/>
          <w:b/>
          <w:u w:val="single"/>
        </w:rPr>
      </w:pPr>
      <w:r w:rsidRPr="006B1DE1">
        <w:rPr>
          <w:rFonts w:cs="Arial"/>
          <w:b/>
          <w:u w:val="single"/>
        </w:rPr>
        <w:t xml:space="preserve">Table 1: Revenue Monitoring – Quarter </w:t>
      </w:r>
      <w:r w:rsidR="001B7156">
        <w:rPr>
          <w:rFonts w:cs="Arial"/>
          <w:b/>
          <w:u w:val="single"/>
        </w:rPr>
        <w:t>2</w:t>
      </w:r>
      <w:r w:rsidRPr="006B1DE1">
        <w:rPr>
          <w:rFonts w:cs="Arial"/>
          <w:b/>
          <w:u w:val="single"/>
        </w:rPr>
        <w:t xml:space="preserve"> 201</w:t>
      </w:r>
      <w:r w:rsidR="00CB3146">
        <w:rPr>
          <w:rFonts w:cs="Arial"/>
          <w:b/>
          <w:u w:val="single"/>
        </w:rPr>
        <w:t>6</w:t>
      </w:r>
      <w:r w:rsidRPr="006B1DE1">
        <w:rPr>
          <w:rFonts w:cs="Arial"/>
          <w:b/>
          <w:u w:val="single"/>
        </w:rPr>
        <w:t>/1</w:t>
      </w:r>
      <w:r w:rsidR="00CB3146">
        <w:rPr>
          <w:rFonts w:cs="Arial"/>
          <w:b/>
          <w:u w:val="single"/>
        </w:rPr>
        <w:t>7</w:t>
      </w:r>
      <w:r w:rsidRPr="006B1DE1">
        <w:rPr>
          <w:rFonts w:cs="Arial"/>
          <w:b/>
          <w:u w:val="single"/>
        </w:rPr>
        <w:t xml:space="preserve"> </w:t>
      </w:r>
    </w:p>
    <w:p w14:paraId="2A423EBF" w14:textId="61B1BFEC" w:rsidR="00D164AF" w:rsidRDefault="001D70DB" w:rsidP="00BB7370">
      <w:pPr>
        <w:rPr>
          <w:rFonts w:cs="Arial"/>
          <w:b/>
          <w:u w:val="single"/>
        </w:rPr>
      </w:pPr>
      <w:r w:rsidRPr="001D70DB">
        <w:rPr>
          <w:noProof/>
          <w:lang w:eastAsia="en-GB"/>
        </w:rPr>
        <w:drawing>
          <wp:inline distT="0" distB="0" distL="0" distR="0" wp14:anchorId="6B1F4406" wp14:editId="500899C7">
            <wp:extent cx="5513560" cy="47621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5563" cy="4772490"/>
                    </a:xfrm>
                    <a:prstGeom prst="rect">
                      <a:avLst/>
                    </a:prstGeom>
                    <a:noFill/>
                    <a:ln>
                      <a:noFill/>
                    </a:ln>
                  </pic:spPr>
                </pic:pic>
              </a:graphicData>
            </a:graphic>
          </wp:inline>
        </w:drawing>
      </w:r>
    </w:p>
    <w:p w14:paraId="48192011" w14:textId="77777777" w:rsidR="00850216" w:rsidRDefault="00741AEB" w:rsidP="00C6530C">
      <w:pPr>
        <w:spacing w:after="240"/>
        <w:ind w:right="488"/>
        <w:jc w:val="both"/>
        <w:rPr>
          <w:b/>
          <w:u w:val="single"/>
        </w:rPr>
      </w:pPr>
      <w:r w:rsidRPr="008A73C4">
        <w:rPr>
          <w:b/>
          <w:u w:val="single"/>
        </w:rPr>
        <w:lastRenderedPageBreak/>
        <w:t>R</w:t>
      </w:r>
      <w:r w:rsidR="008D4ADA">
        <w:rPr>
          <w:b/>
          <w:u w:val="single"/>
        </w:rPr>
        <w:t>esources &amp; Commercial</w:t>
      </w:r>
    </w:p>
    <w:p w14:paraId="1618652B" w14:textId="7674FCB6" w:rsidR="001347B9" w:rsidRPr="00A533C8" w:rsidRDefault="001347B9" w:rsidP="004D6EBB">
      <w:pPr>
        <w:spacing w:after="240"/>
        <w:ind w:right="488" w:firstLine="720"/>
        <w:jc w:val="both"/>
        <w:rPr>
          <w:b/>
          <w:u w:val="single"/>
        </w:rPr>
      </w:pPr>
      <w:r w:rsidRPr="00A533C8">
        <w:rPr>
          <w:b/>
          <w:u w:val="single"/>
        </w:rPr>
        <w:t>Table 2 Resources &amp; Commercial</w:t>
      </w:r>
      <w:r w:rsidR="00A533C8" w:rsidRPr="00A533C8">
        <w:rPr>
          <w:b/>
          <w:u w:val="single"/>
        </w:rPr>
        <w:t xml:space="preserve"> Variance</w:t>
      </w:r>
      <w:r w:rsidRPr="00A533C8">
        <w:rPr>
          <w:b/>
          <w:u w:val="single"/>
        </w:rPr>
        <w:t xml:space="preserve"> </w:t>
      </w:r>
    </w:p>
    <w:tbl>
      <w:tblPr>
        <w:tblW w:w="6594" w:type="dxa"/>
        <w:tblInd w:w="860" w:type="dxa"/>
        <w:tblLook w:val="04A0" w:firstRow="1" w:lastRow="0" w:firstColumn="1" w:lastColumn="0" w:noHBand="0" w:noVBand="1"/>
      </w:tblPr>
      <w:tblGrid>
        <w:gridCol w:w="3180"/>
        <w:gridCol w:w="1085"/>
        <w:gridCol w:w="1085"/>
        <w:gridCol w:w="1244"/>
      </w:tblGrid>
      <w:tr w:rsidR="00987EA7" w:rsidRPr="002738A7" w14:paraId="687B46D6" w14:textId="3E46FD39" w:rsidTr="008F21C7">
        <w:trPr>
          <w:trHeight w:val="87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EFFE9A" w14:textId="77777777" w:rsidR="00987EA7" w:rsidRPr="002738A7" w:rsidRDefault="00987EA7" w:rsidP="002738A7">
            <w:pPr>
              <w:rPr>
                <w:rFonts w:ascii="Times New Roman" w:hAnsi="Times New Roman"/>
                <w:color w:val="000000"/>
                <w:sz w:val="20"/>
                <w:lang w:eastAsia="en-GB"/>
              </w:rPr>
            </w:pPr>
            <w:r w:rsidRPr="002738A7">
              <w:rPr>
                <w:rFonts w:ascii="Times New Roman" w:hAnsi="Times New Roman"/>
                <w:color w:val="000000"/>
                <w:sz w:val="20"/>
                <w:lang w:eastAsia="en-GB"/>
              </w:rPr>
              <w:t> </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400705EE" w14:textId="1264D4FD" w:rsidR="00987EA7" w:rsidRPr="002738A7" w:rsidRDefault="00987EA7" w:rsidP="002738A7">
            <w:pPr>
              <w:rPr>
                <w:rFonts w:cs="Arial"/>
                <w:color w:val="000000"/>
                <w:sz w:val="22"/>
                <w:szCs w:val="22"/>
                <w:lang w:eastAsia="en-GB"/>
              </w:rPr>
            </w:pPr>
            <w:r>
              <w:rPr>
                <w:rFonts w:cs="Arial"/>
                <w:color w:val="000000"/>
                <w:sz w:val="22"/>
                <w:szCs w:val="22"/>
                <w:lang w:eastAsia="en-GB"/>
              </w:rPr>
              <w:t>Q2</w:t>
            </w:r>
            <w:r w:rsidRPr="002738A7">
              <w:rPr>
                <w:rFonts w:cs="Arial"/>
                <w:color w:val="000000"/>
                <w:sz w:val="22"/>
                <w:szCs w:val="22"/>
                <w:lang w:eastAsia="en-GB"/>
              </w:rPr>
              <w:t xml:space="preserve"> Variance £'000</w:t>
            </w:r>
          </w:p>
        </w:tc>
        <w:tc>
          <w:tcPr>
            <w:tcW w:w="1085" w:type="dxa"/>
            <w:tcBorders>
              <w:top w:val="single" w:sz="8" w:space="0" w:color="auto"/>
              <w:left w:val="nil"/>
              <w:bottom w:val="single" w:sz="8" w:space="0" w:color="auto"/>
              <w:right w:val="single" w:sz="8" w:space="0" w:color="auto"/>
            </w:tcBorders>
          </w:tcPr>
          <w:p w14:paraId="3F224C00" w14:textId="4A346E67" w:rsidR="00987EA7" w:rsidRPr="002738A7" w:rsidRDefault="00987EA7" w:rsidP="002738A7">
            <w:pPr>
              <w:rPr>
                <w:rFonts w:cs="Arial"/>
                <w:color w:val="000000"/>
                <w:sz w:val="22"/>
                <w:szCs w:val="22"/>
                <w:lang w:eastAsia="en-GB"/>
              </w:rPr>
            </w:pPr>
            <w:r w:rsidRPr="00987EA7">
              <w:rPr>
                <w:rFonts w:cs="Arial"/>
                <w:color w:val="000000"/>
                <w:sz w:val="22"/>
                <w:szCs w:val="22"/>
                <w:lang w:eastAsia="en-GB"/>
              </w:rPr>
              <w:t>Q</w:t>
            </w:r>
            <w:r>
              <w:rPr>
                <w:rFonts w:cs="Arial"/>
                <w:color w:val="000000"/>
                <w:sz w:val="22"/>
                <w:szCs w:val="22"/>
                <w:lang w:eastAsia="en-GB"/>
              </w:rPr>
              <w:t>1</w:t>
            </w:r>
            <w:r w:rsidRPr="00987EA7">
              <w:rPr>
                <w:rFonts w:cs="Arial"/>
                <w:color w:val="000000"/>
                <w:sz w:val="22"/>
                <w:szCs w:val="22"/>
                <w:lang w:eastAsia="en-GB"/>
              </w:rPr>
              <w:t xml:space="preserve"> Variance £'000</w:t>
            </w:r>
          </w:p>
        </w:tc>
        <w:tc>
          <w:tcPr>
            <w:tcW w:w="1244" w:type="dxa"/>
            <w:tcBorders>
              <w:top w:val="single" w:sz="8" w:space="0" w:color="auto"/>
              <w:left w:val="nil"/>
              <w:bottom w:val="single" w:sz="8" w:space="0" w:color="auto"/>
              <w:right w:val="single" w:sz="8" w:space="0" w:color="auto"/>
            </w:tcBorders>
          </w:tcPr>
          <w:p w14:paraId="446D4501" w14:textId="5BA2AAC2" w:rsidR="00987EA7" w:rsidRPr="00987EA7" w:rsidRDefault="00987EA7" w:rsidP="002738A7">
            <w:pPr>
              <w:rPr>
                <w:rFonts w:cs="Arial"/>
                <w:color w:val="000000"/>
                <w:sz w:val="22"/>
                <w:szCs w:val="22"/>
                <w:lang w:eastAsia="en-GB"/>
              </w:rPr>
            </w:pPr>
            <w:r>
              <w:rPr>
                <w:rFonts w:cs="Arial"/>
                <w:color w:val="000000"/>
                <w:sz w:val="22"/>
                <w:szCs w:val="22"/>
                <w:lang w:eastAsia="en-GB"/>
              </w:rPr>
              <w:t>Movement between Q1 and Q2</w:t>
            </w:r>
          </w:p>
        </w:tc>
      </w:tr>
      <w:tr w:rsidR="00987EA7" w:rsidRPr="002738A7" w14:paraId="292896F9" w14:textId="2EFD1447" w:rsidTr="008F21C7">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5C59759A" w14:textId="77777777" w:rsidR="00987EA7" w:rsidRPr="002738A7" w:rsidRDefault="00987EA7" w:rsidP="002738A7">
            <w:pPr>
              <w:rPr>
                <w:rFonts w:cs="Arial"/>
                <w:color w:val="000000"/>
                <w:sz w:val="22"/>
                <w:szCs w:val="22"/>
                <w:lang w:eastAsia="en-GB"/>
              </w:rPr>
            </w:pPr>
            <w:r w:rsidRPr="002738A7">
              <w:rPr>
                <w:rFonts w:cs="Arial"/>
                <w:color w:val="000000"/>
                <w:sz w:val="22"/>
                <w:szCs w:val="22"/>
                <w:lang w:eastAsia="en-GB"/>
              </w:rPr>
              <w:t>Resources</w:t>
            </w:r>
          </w:p>
        </w:tc>
        <w:tc>
          <w:tcPr>
            <w:tcW w:w="1085" w:type="dxa"/>
            <w:tcBorders>
              <w:top w:val="nil"/>
              <w:left w:val="nil"/>
              <w:bottom w:val="single" w:sz="8" w:space="0" w:color="auto"/>
              <w:right w:val="single" w:sz="8" w:space="0" w:color="auto"/>
            </w:tcBorders>
            <w:shd w:val="clear" w:color="auto" w:fill="auto"/>
            <w:noWrap/>
            <w:vAlign w:val="center"/>
            <w:hideMark/>
          </w:tcPr>
          <w:p w14:paraId="6F018A6E" w14:textId="64A775B8" w:rsidR="00987EA7" w:rsidRPr="002738A7" w:rsidRDefault="001D70DB" w:rsidP="002738A7">
            <w:pPr>
              <w:jc w:val="right"/>
              <w:rPr>
                <w:rFonts w:cs="Arial"/>
                <w:color w:val="FF0000"/>
                <w:sz w:val="22"/>
                <w:szCs w:val="22"/>
                <w:lang w:eastAsia="en-GB"/>
              </w:rPr>
            </w:pPr>
            <w:r w:rsidRPr="003D3BCC">
              <w:rPr>
                <w:rFonts w:cs="Arial"/>
                <w:sz w:val="22"/>
                <w:szCs w:val="22"/>
                <w:lang w:eastAsia="en-GB"/>
              </w:rPr>
              <w:t>(</w:t>
            </w:r>
            <w:r w:rsidR="00987EA7" w:rsidRPr="003D3BCC">
              <w:rPr>
                <w:rFonts w:cs="Arial"/>
                <w:sz w:val="22"/>
                <w:szCs w:val="22"/>
                <w:lang w:eastAsia="en-GB"/>
              </w:rPr>
              <w:t>652</w:t>
            </w:r>
            <w:r w:rsidRPr="003D3BCC">
              <w:rPr>
                <w:rFonts w:cs="Arial"/>
                <w:sz w:val="22"/>
                <w:szCs w:val="22"/>
                <w:lang w:eastAsia="en-GB"/>
              </w:rPr>
              <w:t>)</w:t>
            </w:r>
          </w:p>
        </w:tc>
        <w:tc>
          <w:tcPr>
            <w:tcW w:w="1085" w:type="dxa"/>
            <w:tcBorders>
              <w:top w:val="nil"/>
              <w:left w:val="nil"/>
              <w:bottom w:val="single" w:sz="8" w:space="0" w:color="auto"/>
              <w:right w:val="single" w:sz="8" w:space="0" w:color="auto"/>
            </w:tcBorders>
          </w:tcPr>
          <w:p w14:paraId="6D264126" w14:textId="11F0A9BF" w:rsidR="00987EA7" w:rsidRPr="002738A7" w:rsidRDefault="001D70DB" w:rsidP="002738A7">
            <w:pPr>
              <w:jc w:val="right"/>
              <w:rPr>
                <w:rFonts w:cs="Arial"/>
                <w:color w:val="FF0000"/>
                <w:sz w:val="22"/>
                <w:szCs w:val="22"/>
                <w:lang w:eastAsia="en-GB"/>
              </w:rPr>
            </w:pPr>
            <w:r>
              <w:t>(</w:t>
            </w:r>
            <w:r w:rsidR="00987EA7" w:rsidRPr="008D7517">
              <w:t>241</w:t>
            </w:r>
            <w:r>
              <w:t>)</w:t>
            </w:r>
          </w:p>
        </w:tc>
        <w:tc>
          <w:tcPr>
            <w:tcW w:w="1244" w:type="dxa"/>
            <w:tcBorders>
              <w:top w:val="nil"/>
              <w:left w:val="nil"/>
              <w:bottom w:val="single" w:sz="8" w:space="0" w:color="auto"/>
              <w:right w:val="single" w:sz="8" w:space="0" w:color="auto"/>
            </w:tcBorders>
          </w:tcPr>
          <w:p w14:paraId="3DFFA443" w14:textId="4FADD873" w:rsidR="00987EA7" w:rsidRPr="008D7517" w:rsidRDefault="001D70DB" w:rsidP="002738A7">
            <w:pPr>
              <w:jc w:val="right"/>
            </w:pPr>
            <w:r>
              <w:t>(</w:t>
            </w:r>
            <w:r w:rsidR="00987EA7">
              <w:t>411</w:t>
            </w:r>
            <w:r>
              <w:t>)</w:t>
            </w:r>
          </w:p>
        </w:tc>
      </w:tr>
      <w:tr w:rsidR="00987EA7" w:rsidRPr="002738A7" w14:paraId="65CF78D8" w14:textId="134D6839" w:rsidTr="008F21C7">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15348F6C" w14:textId="77777777" w:rsidR="00987EA7" w:rsidRPr="002738A7" w:rsidRDefault="00987EA7" w:rsidP="002738A7">
            <w:pPr>
              <w:rPr>
                <w:rFonts w:cs="Arial"/>
                <w:color w:val="000000"/>
                <w:sz w:val="22"/>
                <w:szCs w:val="22"/>
                <w:lang w:eastAsia="en-GB"/>
              </w:rPr>
            </w:pPr>
            <w:r w:rsidRPr="002738A7">
              <w:rPr>
                <w:rFonts w:cs="Arial"/>
                <w:color w:val="000000"/>
                <w:sz w:val="22"/>
                <w:szCs w:val="22"/>
                <w:lang w:eastAsia="en-GB"/>
              </w:rPr>
              <w:t>Business Support</w:t>
            </w:r>
          </w:p>
        </w:tc>
        <w:tc>
          <w:tcPr>
            <w:tcW w:w="1085" w:type="dxa"/>
            <w:tcBorders>
              <w:top w:val="nil"/>
              <w:left w:val="nil"/>
              <w:bottom w:val="single" w:sz="8" w:space="0" w:color="auto"/>
              <w:right w:val="single" w:sz="8" w:space="0" w:color="auto"/>
            </w:tcBorders>
            <w:shd w:val="clear" w:color="auto" w:fill="auto"/>
            <w:noWrap/>
            <w:vAlign w:val="center"/>
            <w:hideMark/>
          </w:tcPr>
          <w:p w14:paraId="1C6EE838" w14:textId="3B95FF86" w:rsidR="00987EA7" w:rsidRPr="002738A7" w:rsidRDefault="00987EA7" w:rsidP="002738A7">
            <w:pPr>
              <w:jc w:val="right"/>
              <w:rPr>
                <w:rFonts w:cs="Arial"/>
                <w:color w:val="000000"/>
                <w:sz w:val="22"/>
                <w:szCs w:val="22"/>
                <w:lang w:eastAsia="en-GB"/>
              </w:rPr>
            </w:pPr>
            <w:r>
              <w:rPr>
                <w:rFonts w:cs="Arial"/>
                <w:color w:val="000000"/>
                <w:sz w:val="22"/>
                <w:szCs w:val="22"/>
                <w:lang w:eastAsia="en-GB"/>
              </w:rPr>
              <w:t>877</w:t>
            </w:r>
          </w:p>
        </w:tc>
        <w:tc>
          <w:tcPr>
            <w:tcW w:w="1085" w:type="dxa"/>
            <w:tcBorders>
              <w:top w:val="nil"/>
              <w:left w:val="nil"/>
              <w:bottom w:val="single" w:sz="8" w:space="0" w:color="auto"/>
              <w:right w:val="single" w:sz="8" w:space="0" w:color="auto"/>
            </w:tcBorders>
          </w:tcPr>
          <w:p w14:paraId="24D44DB9" w14:textId="22E4D2D0" w:rsidR="00987EA7" w:rsidRPr="002738A7" w:rsidRDefault="00987EA7" w:rsidP="002738A7">
            <w:pPr>
              <w:jc w:val="right"/>
              <w:rPr>
                <w:rFonts w:cs="Arial"/>
                <w:color w:val="000000"/>
                <w:sz w:val="22"/>
                <w:szCs w:val="22"/>
                <w:lang w:eastAsia="en-GB"/>
              </w:rPr>
            </w:pPr>
            <w:r w:rsidRPr="008D7517">
              <w:t>691</w:t>
            </w:r>
          </w:p>
        </w:tc>
        <w:tc>
          <w:tcPr>
            <w:tcW w:w="1244" w:type="dxa"/>
            <w:tcBorders>
              <w:top w:val="nil"/>
              <w:left w:val="nil"/>
              <w:bottom w:val="single" w:sz="8" w:space="0" w:color="auto"/>
              <w:right w:val="single" w:sz="8" w:space="0" w:color="auto"/>
            </w:tcBorders>
          </w:tcPr>
          <w:p w14:paraId="1BA409EF" w14:textId="0D1F57E6" w:rsidR="00987EA7" w:rsidRPr="008D7517" w:rsidRDefault="00987EA7" w:rsidP="002738A7">
            <w:pPr>
              <w:jc w:val="right"/>
            </w:pPr>
            <w:r>
              <w:t>186</w:t>
            </w:r>
          </w:p>
        </w:tc>
      </w:tr>
      <w:tr w:rsidR="00987EA7" w:rsidRPr="002738A7" w14:paraId="75BCCE6C" w14:textId="7F1DC447" w:rsidTr="008F21C7">
        <w:trPr>
          <w:trHeight w:val="300"/>
        </w:trPr>
        <w:tc>
          <w:tcPr>
            <w:tcW w:w="3180" w:type="dxa"/>
            <w:tcBorders>
              <w:top w:val="nil"/>
              <w:left w:val="single" w:sz="8" w:space="0" w:color="auto"/>
              <w:bottom w:val="double" w:sz="6" w:space="0" w:color="auto"/>
              <w:right w:val="single" w:sz="8" w:space="0" w:color="auto"/>
            </w:tcBorders>
            <w:shd w:val="clear" w:color="auto" w:fill="auto"/>
            <w:vAlign w:val="center"/>
            <w:hideMark/>
          </w:tcPr>
          <w:p w14:paraId="635BE1C4" w14:textId="77777777" w:rsidR="00987EA7" w:rsidRPr="002738A7" w:rsidRDefault="00987EA7" w:rsidP="002738A7">
            <w:pPr>
              <w:rPr>
                <w:rFonts w:cs="Arial"/>
                <w:color w:val="000000"/>
                <w:sz w:val="22"/>
                <w:szCs w:val="22"/>
                <w:lang w:eastAsia="en-GB"/>
              </w:rPr>
            </w:pPr>
            <w:r w:rsidRPr="002738A7">
              <w:rPr>
                <w:rFonts w:cs="Arial"/>
                <w:color w:val="000000"/>
                <w:sz w:val="22"/>
                <w:szCs w:val="22"/>
                <w:lang w:eastAsia="en-GB"/>
              </w:rPr>
              <w:t>Total</w:t>
            </w:r>
          </w:p>
        </w:tc>
        <w:tc>
          <w:tcPr>
            <w:tcW w:w="1085" w:type="dxa"/>
            <w:tcBorders>
              <w:top w:val="nil"/>
              <w:left w:val="nil"/>
              <w:bottom w:val="double" w:sz="6" w:space="0" w:color="auto"/>
              <w:right w:val="single" w:sz="8" w:space="0" w:color="auto"/>
            </w:tcBorders>
            <w:shd w:val="clear" w:color="auto" w:fill="auto"/>
            <w:noWrap/>
            <w:vAlign w:val="center"/>
            <w:hideMark/>
          </w:tcPr>
          <w:p w14:paraId="56F0FA3D" w14:textId="12A05FAA" w:rsidR="00987EA7" w:rsidRPr="002738A7" w:rsidRDefault="00987EA7" w:rsidP="002738A7">
            <w:pPr>
              <w:jc w:val="right"/>
              <w:rPr>
                <w:rFonts w:cs="Arial"/>
                <w:color w:val="000000"/>
                <w:sz w:val="22"/>
                <w:szCs w:val="22"/>
                <w:lang w:eastAsia="en-GB"/>
              </w:rPr>
            </w:pPr>
            <w:r>
              <w:rPr>
                <w:rFonts w:cs="Arial"/>
                <w:color w:val="000000"/>
                <w:sz w:val="22"/>
                <w:szCs w:val="22"/>
                <w:lang w:eastAsia="en-GB"/>
              </w:rPr>
              <w:t>225</w:t>
            </w:r>
          </w:p>
        </w:tc>
        <w:tc>
          <w:tcPr>
            <w:tcW w:w="1085" w:type="dxa"/>
            <w:tcBorders>
              <w:top w:val="nil"/>
              <w:left w:val="nil"/>
              <w:bottom w:val="double" w:sz="6" w:space="0" w:color="auto"/>
              <w:right w:val="single" w:sz="8" w:space="0" w:color="auto"/>
            </w:tcBorders>
          </w:tcPr>
          <w:p w14:paraId="165E9A1B" w14:textId="3F7837B9" w:rsidR="00987EA7" w:rsidRPr="002738A7" w:rsidRDefault="00987EA7" w:rsidP="002738A7">
            <w:pPr>
              <w:jc w:val="right"/>
              <w:rPr>
                <w:rFonts w:cs="Arial"/>
                <w:color w:val="000000"/>
                <w:sz w:val="22"/>
                <w:szCs w:val="22"/>
                <w:lang w:eastAsia="en-GB"/>
              </w:rPr>
            </w:pPr>
            <w:r w:rsidRPr="008D7517">
              <w:t>450</w:t>
            </w:r>
          </w:p>
        </w:tc>
        <w:tc>
          <w:tcPr>
            <w:tcW w:w="1244" w:type="dxa"/>
            <w:tcBorders>
              <w:top w:val="nil"/>
              <w:left w:val="nil"/>
              <w:bottom w:val="double" w:sz="6" w:space="0" w:color="auto"/>
              <w:right w:val="single" w:sz="8" w:space="0" w:color="auto"/>
            </w:tcBorders>
          </w:tcPr>
          <w:p w14:paraId="33FFC94F" w14:textId="3537BC4C" w:rsidR="00987EA7" w:rsidRPr="008D7517" w:rsidRDefault="001D70DB" w:rsidP="002738A7">
            <w:pPr>
              <w:jc w:val="right"/>
            </w:pPr>
            <w:r>
              <w:t>(</w:t>
            </w:r>
            <w:r w:rsidR="00987EA7">
              <w:t>225</w:t>
            </w:r>
            <w:r>
              <w:t>)</w:t>
            </w:r>
          </w:p>
        </w:tc>
      </w:tr>
    </w:tbl>
    <w:p w14:paraId="67480463" w14:textId="56156AD1" w:rsidR="008203D5" w:rsidRDefault="00521915" w:rsidP="00D645B0">
      <w:r>
        <w:tab/>
      </w:r>
    </w:p>
    <w:p w14:paraId="18CE1864" w14:textId="30869D58" w:rsidR="00DF7785" w:rsidRPr="000A7F0F" w:rsidRDefault="00F9680A" w:rsidP="00FA683C">
      <w:pPr>
        <w:pStyle w:val="ListParagraph"/>
        <w:numPr>
          <w:ilvl w:val="1"/>
          <w:numId w:val="6"/>
        </w:numPr>
        <w:spacing w:after="120"/>
        <w:ind w:left="709" w:hanging="709"/>
        <w:jc w:val="both"/>
        <w:rPr>
          <w:bCs/>
        </w:rPr>
      </w:pPr>
      <w:bookmarkStart w:id="1" w:name="_Toc372706214"/>
      <w:r w:rsidRPr="000A7F0F">
        <w:rPr>
          <w:bCs/>
        </w:rPr>
        <w:t xml:space="preserve"> </w:t>
      </w:r>
      <w:r w:rsidR="000F0252" w:rsidRPr="000A7F0F">
        <w:rPr>
          <w:bCs/>
        </w:rPr>
        <w:t xml:space="preserve">At quarter </w:t>
      </w:r>
      <w:r w:rsidR="00DF7785" w:rsidRPr="000A7F0F">
        <w:rPr>
          <w:bCs/>
        </w:rPr>
        <w:t>2</w:t>
      </w:r>
      <w:r w:rsidR="000F0252" w:rsidRPr="000A7F0F">
        <w:rPr>
          <w:bCs/>
        </w:rPr>
        <w:t xml:space="preserve">, Resources is forecasting to </w:t>
      </w:r>
      <w:r w:rsidR="00DF7785" w:rsidRPr="000A7F0F">
        <w:rPr>
          <w:bCs/>
        </w:rPr>
        <w:t>underspend</w:t>
      </w:r>
      <w:r w:rsidR="00E409A4" w:rsidRPr="000A7F0F">
        <w:rPr>
          <w:bCs/>
        </w:rPr>
        <w:t xml:space="preserve"> b</w:t>
      </w:r>
      <w:r w:rsidR="000F0252" w:rsidRPr="000A7F0F">
        <w:rPr>
          <w:bCs/>
        </w:rPr>
        <w:t xml:space="preserve">y </w:t>
      </w:r>
      <w:r w:rsidR="00DF7785" w:rsidRPr="000A7F0F">
        <w:rPr>
          <w:bCs/>
        </w:rPr>
        <w:t>(</w:t>
      </w:r>
      <w:r w:rsidR="000F0252" w:rsidRPr="000A7F0F">
        <w:rPr>
          <w:bCs/>
        </w:rPr>
        <w:t>£</w:t>
      </w:r>
      <w:r w:rsidR="00DF7785" w:rsidRPr="000A7F0F">
        <w:rPr>
          <w:bCs/>
        </w:rPr>
        <w:t xml:space="preserve">652k) compare to </w:t>
      </w:r>
      <w:r w:rsidR="00D325FE">
        <w:rPr>
          <w:bCs/>
        </w:rPr>
        <w:t xml:space="preserve">a </w:t>
      </w:r>
      <w:r w:rsidR="001347B9">
        <w:rPr>
          <w:bCs/>
        </w:rPr>
        <w:t xml:space="preserve">forecast underspend of </w:t>
      </w:r>
      <w:r w:rsidR="00DF7785" w:rsidRPr="000A7F0F">
        <w:rPr>
          <w:bCs/>
        </w:rPr>
        <w:t>(£241k) at Quarter 1, which is a favourable movement of (£411k).</w:t>
      </w:r>
    </w:p>
    <w:p w14:paraId="501D9736" w14:textId="363F900B" w:rsidR="0032550B" w:rsidRPr="000A7F0F" w:rsidRDefault="000D5959" w:rsidP="00FA683C">
      <w:pPr>
        <w:pStyle w:val="ListParagraph"/>
        <w:numPr>
          <w:ilvl w:val="1"/>
          <w:numId w:val="6"/>
        </w:numPr>
        <w:spacing w:after="120"/>
        <w:ind w:left="709" w:hanging="709"/>
        <w:jc w:val="both"/>
        <w:rPr>
          <w:bCs/>
        </w:rPr>
      </w:pPr>
      <w:r w:rsidRPr="000D5959">
        <w:rPr>
          <w:bCs/>
        </w:rPr>
        <w:t xml:space="preserve">The </w:t>
      </w:r>
      <w:r w:rsidR="00A35188">
        <w:rPr>
          <w:bCs/>
        </w:rPr>
        <w:t>movement between quarter one and two</w:t>
      </w:r>
      <w:r w:rsidRPr="000D5959">
        <w:rPr>
          <w:bCs/>
        </w:rPr>
        <w:t xml:space="preserve"> is </w:t>
      </w:r>
      <w:r w:rsidR="001D70DB">
        <w:rPr>
          <w:bCs/>
        </w:rPr>
        <w:t xml:space="preserve">mainly </w:t>
      </w:r>
      <w:r w:rsidRPr="000D5959">
        <w:rPr>
          <w:bCs/>
        </w:rPr>
        <w:t>due to</w:t>
      </w:r>
      <w:r w:rsidR="001347B9">
        <w:rPr>
          <w:bCs/>
        </w:rPr>
        <w:t xml:space="preserve"> a</w:t>
      </w:r>
      <w:r w:rsidRPr="000D5959">
        <w:rPr>
          <w:bCs/>
        </w:rPr>
        <w:t xml:space="preserve"> </w:t>
      </w:r>
      <w:r w:rsidR="00755442" w:rsidRPr="00755442">
        <w:rPr>
          <w:b/>
          <w:bCs/>
        </w:rPr>
        <w:t>(</w:t>
      </w:r>
      <w:r w:rsidRPr="00A35188">
        <w:rPr>
          <w:b/>
          <w:bCs/>
        </w:rPr>
        <w:t>£250k</w:t>
      </w:r>
      <w:r w:rsidR="00755442">
        <w:rPr>
          <w:b/>
          <w:bCs/>
        </w:rPr>
        <w:t>)</w:t>
      </w:r>
      <w:r w:rsidRPr="000D5959">
        <w:rPr>
          <w:bCs/>
        </w:rPr>
        <w:t xml:space="preserve"> estimated Government subsidy and increased recovery of over</w:t>
      </w:r>
      <w:r w:rsidR="00A35188">
        <w:rPr>
          <w:bCs/>
        </w:rPr>
        <w:t>payments in the Benefits budget,</w:t>
      </w:r>
      <w:r w:rsidRPr="000D5959">
        <w:rPr>
          <w:bCs/>
        </w:rPr>
        <w:t xml:space="preserve"> </w:t>
      </w:r>
      <w:r w:rsidR="00A35188">
        <w:rPr>
          <w:bCs/>
        </w:rPr>
        <w:t>t</w:t>
      </w:r>
      <w:r w:rsidRPr="000D5959">
        <w:rPr>
          <w:bCs/>
        </w:rPr>
        <w:t xml:space="preserve">he receipt of </w:t>
      </w:r>
      <w:r w:rsidR="00755442" w:rsidRPr="00755442">
        <w:rPr>
          <w:b/>
          <w:bCs/>
        </w:rPr>
        <w:t>(</w:t>
      </w:r>
      <w:r w:rsidRPr="009F5F40">
        <w:rPr>
          <w:b/>
          <w:bCs/>
        </w:rPr>
        <w:t>£208k</w:t>
      </w:r>
      <w:r w:rsidR="00755442">
        <w:rPr>
          <w:b/>
          <w:bCs/>
        </w:rPr>
        <w:t>)</w:t>
      </w:r>
      <w:r w:rsidRPr="000D5959">
        <w:rPr>
          <w:bCs/>
        </w:rPr>
        <w:t xml:space="preserve"> from Central Government for the costs of European elections incurred in 2015</w:t>
      </w:r>
      <w:r w:rsidR="001347B9">
        <w:rPr>
          <w:bCs/>
        </w:rPr>
        <w:t>-16 by Legal and Governance, off-set by</w:t>
      </w:r>
      <w:r w:rsidRPr="000D5959">
        <w:rPr>
          <w:bCs/>
        </w:rPr>
        <w:t xml:space="preserve"> the Legal and Governance Shared Services budget</w:t>
      </w:r>
      <w:r w:rsidR="00E46742">
        <w:rPr>
          <w:bCs/>
        </w:rPr>
        <w:t>,</w:t>
      </w:r>
      <w:r w:rsidRPr="000D5959">
        <w:rPr>
          <w:bCs/>
        </w:rPr>
        <w:t xml:space="preserve"> previously forecast as </w:t>
      </w:r>
      <w:r w:rsidR="00755442" w:rsidRPr="00755442">
        <w:rPr>
          <w:b/>
          <w:bCs/>
        </w:rPr>
        <w:t>(</w:t>
      </w:r>
      <w:r w:rsidRPr="00755442">
        <w:rPr>
          <w:b/>
          <w:bCs/>
        </w:rPr>
        <w:t>£</w:t>
      </w:r>
      <w:r w:rsidRPr="009F5F40">
        <w:rPr>
          <w:b/>
          <w:bCs/>
        </w:rPr>
        <w:t>60k</w:t>
      </w:r>
      <w:r w:rsidR="00755442">
        <w:rPr>
          <w:b/>
          <w:bCs/>
        </w:rPr>
        <w:t>)</w:t>
      </w:r>
      <w:r w:rsidRPr="000D5959">
        <w:rPr>
          <w:bCs/>
        </w:rPr>
        <w:t xml:space="preserve"> under spen</w:t>
      </w:r>
      <w:r w:rsidR="001347B9">
        <w:rPr>
          <w:bCs/>
        </w:rPr>
        <w:t xml:space="preserve">t, </w:t>
      </w:r>
      <w:r w:rsidRPr="000D5959">
        <w:rPr>
          <w:bCs/>
        </w:rPr>
        <w:t xml:space="preserve"> now being in line with the budget</w:t>
      </w:r>
      <w:r>
        <w:rPr>
          <w:bCs/>
        </w:rPr>
        <w:t>.</w:t>
      </w:r>
      <w:r w:rsidR="0032550B" w:rsidRPr="000A7F0F">
        <w:rPr>
          <w:bCs/>
        </w:rPr>
        <w:t xml:space="preserve"> </w:t>
      </w:r>
    </w:p>
    <w:p w14:paraId="4518A7F1" w14:textId="6C024E8D" w:rsidR="00A367E0" w:rsidRPr="00A367E0" w:rsidRDefault="000D5959" w:rsidP="00FA683C">
      <w:pPr>
        <w:pStyle w:val="ListParagraph"/>
        <w:numPr>
          <w:ilvl w:val="1"/>
          <w:numId w:val="6"/>
        </w:numPr>
        <w:tabs>
          <w:tab w:val="left" w:pos="709"/>
        </w:tabs>
        <w:spacing w:after="120"/>
        <w:ind w:left="709" w:hanging="709"/>
        <w:jc w:val="both"/>
        <w:rPr>
          <w:rFonts w:cs="Arial"/>
          <w:bCs/>
          <w:szCs w:val="24"/>
        </w:rPr>
      </w:pPr>
      <w:r w:rsidRPr="000D5959">
        <w:rPr>
          <w:bCs/>
        </w:rPr>
        <w:t>The underlying underspend, along with</w:t>
      </w:r>
      <w:r w:rsidR="001347B9">
        <w:rPr>
          <w:bCs/>
        </w:rPr>
        <w:t xml:space="preserve"> the above movements, is due to </w:t>
      </w:r>
      <w:r w:rsidRPr="000D5959">
        <w:rPr>
          <w:bCs/>
        </w:rPr>
        <w:t xml:space="preserve">savings on indexation, printing and consultancy costs in the Business Transformation budget of </w:t>
      </w:r>
      <w:r w:rsidR="009F5F40" w:rsidRPr="005D1119">
        <w:rPr>
          <w:b/>
          <w:bCs/>
        </w:rPr>
        <w:t>(</w:t>
      </w:r>
      <w:r w:rsidRPr="005D1119">
        <w:rPr>
          <w:b/>
          <w:bCs/>
        </w:rPr>
        <w:t>£249k</w:t>
      </w:r>
      <w:r w:rsidR="009F5F40" w:rsidRPr="005D1119">
        <w:rPr>
          <w:b/>
          <w:bCs/>
        </w:rPr>
        <w:t>)</w:t>
      </w:r>
      <w:r w:rsidRPr="000D5959">
        <w:rPr>
          <w:bCs/>
        </w:rPr>
        <w:t xml:space="preserve">, Harrow Help budget forecast to underspend by </w:t>
      </w:r>
      <w:r w:rsidR="009F5F40" w:rsidRPr="005D1119">
        <w:rPr>
          <w:b/>
          <w:bCs/>
        </w:rPr>
        <w:t>(</w:t>
      </w:r>
      <w:r w:rsidRPr="005D1119">
        <w:rPr>
          <w:b/>
          <w:bCs/>
        </w:rPr>
        <w:t>£102k</w:t>
      </w:r>
      <w:r w:rsidR="009F5F40" w:rsidRPr="005D1119">
        <w:rPr>
          <w:b/>
          <w:bCs/>
        </w:rPr>
        <w:t>)</w:t>
      </w:r>
      <w:r w:rsidRPr="000D5959">
        <w:rPr>
          <w:bCs/>
        </w:rPr>
        <w:t xml:space="preserve">, Cashiers Services one off cost savings of </w:t>
      </w:r>
      <w:r w:rsidR="009F5F40" w:rsidRPr="005D1119">
        <w:rPr>
          <w:b/>
          <w:bCs/>
        </w:rPr>
        <w:t>(</w:t>
      </w:r>
      <w:r w:rsidRPr="005D1119">
        <w:rPr>
          <w:b/>
          <w:bCs/>
        </w:rPr>
        <w:t>£59k</w:t>
      </w:r>
      <w:r w:rsidR="009F5F40" w:rsidRPr="005D1119">
        <w:rPr>
          <w:b/>
          <w:bCs/>
        </w:rPr>
        <w:t>)</w:t>
      </w:r>
      <w:r w:rsidRPr="000D5959">
        <w:rPr>
          <w:bCs/>
        </w:rPr>
        <w:t xml:space="preserve">, and a </w:t>
      </w:r>
      <w:r w:rsidR="009F5F40" w:rsidRPr="005D1119">
        <w:rPr>
          <w:b/>
          <w:bCs/>
        </w:rPr>
        <w:t>(</w:t>
      </w:r>
      <w:r w:rsidRPr="005D1119">
        <w:rPr>
          <w:b/>
          <w:bCs/>
        </w:rPr>
        <w:t>£153k</w:t>
      </w:r>
      <w:r w:rsidR="009F5F40" w:rsidRPr="005D1119">
        <w:rPr>
          <w:b/>
          <w:bCs/>
        </w:rPr>
        <w:t>)</w:t>
      </w:r>
      <w:r w:rsidRPr="000D5959">
        <w:rPr>
          <w:bCs/>
        </w:rPr>
        <w:t xml:space="preserve"> underspend in HRD &amp; Shared Services</w:t>
      </w:r>
      <w:r w:rsidRPr="000D5959">
        <w:rPr>
          <w:b/>
          <w:bCs/>
        </w:rPr>
        <w:t xml:space="preserve"> </w:t>
      </w:r>
      <w:r w:rsidRPr="000D5959">
        <w:rPr>
          <w:bCs/>
        </w:rPr>
        <w:t>from one off savings following the transitional arrangements which went live on the 1</w:t>
      </w:r>
      <w:r w:rsidRPr="000D5959">
        <w:rPr>
          <w:bCs/>
          <w:vertAlign w:val="superscript"/>
        </w:rPr>
        <w:t>st</w:t>
      </w:r>
      <w:r w:rsidRPr="000D5959">
        <w:rPr>
          <w:bCs/>
        </w:rPr>
        <w:t xml:space="preserve"> August 2016</w:t>
      </w:r>
      <w:r>
        <w:rPr>
          <w:bCs/>
        </w:rPr>
        <w:t xml:space="preserve">. </w:t>
      </w:r>
    </w:p>
    <w:p w14:paraId="7F652727" w14:textId="19747F31" w:rsidR="000D5959" w:rsidRPr="000D5959" w:rsidRDefault="000D5959" w:rsidP="00173DA5">
      <w:pPr>
        <w:pStyle w:val="ListParagraph"/>
        <w:numPr>
          <w:ilvl w:val="1"/>
          <w:numId w:val="6"/>
        </w:numPr>
        <w:tabs>
          <w:tab w:val="left" w:pos="709"/>
        </w:tabs>
        <w:spacing w:after="240"/>
        <w:ind w:left="709" w:hanging="709"/>
        <w:jc w:val="both"/>
        <w:rPr>
          <w:rFonts w:cs="Arial"/>
          <w:bCs/>
          <w:szCs w:val="24"/>
        </w:rPr>
      </w:pPr>
      <w:r w:rsidRPr="000D5959">
        <w:rPr>
          <w:bCs/>
        </w:rPr>
        <w:t>The underspends fully offset pressures in Strategic Commissioning due to</w:t>
      </w:r>
      <w:r w:rsidR="001347B9">
        <w:rPr>
          <w:bCs/>
        </w:rPr>
        <w:t xml:space="preserve"> a</w:t>
      </w:r>
      <w:r w:rsidRPr="000D5959">
        <w:rPr>
          <w:bCs/>
        </w:rPr>
        <w:t xml:space="preserve"> shortfall against MTFS targets ‘Commissi</w:t>
      </w:r>
      <w:r w:rsidR="009F5F40">
        <w:rPr>
          <w:bCs/>
        </w:rPr>
        <w:t xml:space="preserve">oning Capacity in the Council’ </w:t>
      </w:r>
      <w:r w:rsidRPr="005D1119">
        <w:rPr>
          <w:b/>
          <w:bCs/>
        </w:rPr>
        <w:t>£87k</w:t>
      </w:r>
      <w:r w:rsidRPr="000D5959">
        <w:rPr>
          <w:bCs/>
        </w:rPr>
        <w:t xml:space="preserve">, ‘Income from Communications through </w:t>
      </w:r>
      <w:r w:rsidR="009F5F40">
        <w:rPr>
          <w:bCs/>
        </w:rPr>
        <w:t xml:space="preserve">Gain Share Model’ </w:t>
      </w:r>
      <w:r w:rsidR="009F5F40" w:rsidRPr="005D1119">
        <w:rPr>
          <w:b/>
          <w:bCs/>
        </w:rPr>
        <w:t>£25k</w:t>
      </w:r>
      <w:r w:rsidRPr="005D1119">
        <w:rPr>
          <w:b/>
          <w:bCs/>
        </w:rPr>
        <w:t>,</w:t>
      </w:r>
      <w:r w:rsidRPr="000D5959">
        <w:rPr>
          <w:bCs/>
        </w:rPr>
        <w:t xml:space="preserve"> advertising savings target </w:t>
      </w:r>
      <w:r w:rsidRPr="005D1119">
        <w:rPr>
          <w:b/>
          <w:bCs/>
        </w:rPr>
        <w:t>£25k</w:t>
      </w:r>
      <w:r w:rsidRPr="000D5959">
        <w:rPr>
          <w:bCs/>
        </w:rPr>
        <w:t xml:space="preserve"> and prior year costs being paid this year.  Finance is forecasting a </w:t>
      </w:r>
      <w:r w:rsidRPr="005D1119">
        <w:rPr>
          <w:b/>
          <w:bCs/>
        </w:rPr>
        <w:t>£107k</w:t>
      </w:r>
      <w:r w:rsidRPr="000D5959">
        <w:rPr>
          <w:bCs/>
        </w:rPr>
        <w:t xml:space="preserve"> overspend due to </w:t>
      </w:r>
      <w:r w:rsidR="005D1119">
        <w:rPr>
          <w:bCs/>
        </w:rPr>
        <w:t xml:space="preserve"> in year </w:t>
      </w:r>
      <w:r w:rsidRPr="000D5959">
        <w:rPr>
          <w:bCs/>
        </w:rPr>
        <w:t>staffing pressure</w:t>
      </w:r>
      <w:r w:rsidR="007D291B">
        <w:rPr>
          <w:bCs/>
        </w:rPr>
        <w:t>s</w:t>
      </w:r>
      <w:r w:rsidRPr="000D5959">
        <w:rPr>
          <w:bCs/>
        </w:rPr>
        <w:t>. Procurement and Commercialisation is forecasting to overspend as</w:t>
      </w:r>
      <w:r w:rsidR="001347B9">
        <w:rPr>
          <w:bCs/>
        </w:rPr>
        <w:t xml:space="preserve"> a</w:t>
      </w:r>
      <w:r w:rsidRPr="000D5959">
        <w:rPr>
          <w:bCs/>
        </w:rPr>
        <w:t xml:space="preserve"> Pan Organisation savings target will </w:t>
      </w:r>
      <w:r w:rsidR="001347B9">
        <w:rPr>
          <w:bCs/>
        </w:rPr>
        <w:t xml:space="preserve">be underachieved by </w:t>
      </w:r>
      <w:r w:rsidRPr="005D1119">
        <w:rPr>
          <w:b/>
          <w:bCs/>
        </w:rPr>
        <w:t>£100k</w:t>
      </w:r>
      <w:r w:rsidRPr="000D5959">
        <w:rPr>
          <w:bCs/>
        </w:rPr>
        <w:t xml:space="preserve"> and a </w:t>
      </w:r>
      <w:r w:rsidRPr="005D1119">
        <w:rPr>
          <w:b/>
          <w:bCs/>
        </w:rPr>
        <w:t>£41k</w:t>
      </w:r>
      <w:r w:rsidRPr="000D5959">
        <w:rPr>
          <w:bCs/>
        </w:rPr>
        <w:t xml:space="preserve"> over spend as a result of West London Alliance fees</w:t>
      </w:r>
      <w:r>
        <w:rPr>
          <w:bCs/>
        </w:rPr>
        <w:t>.</w:t>
      </w:r>
    </w:p>
    <w:p w14:paraId="7AC5F4FF" w14:textId="77777777" w:rsidR="00A367E0" w:rsidRPr="008F21C7" w:rsidRDefault="00A367E0" w:rsidP="008F21C7">
      <w:pPr>
        <w:ind w:firstLine="709"/>
        <w:rPr>
          <w:rFonts w:cs="Arial"/>
          <w:bCs/>
          <w:szCs w:val="24"/>
          <w:u w:val="single"/>
        </w:rPr>
      </w:pPr>
      <w:r w:rsidRPr="008F21C7">
        <w:rPr>
          <w:rFonts w:cs="Arial"/>
          <w:bCs/>
          <w:szCs w:val="24"/>
          <w:u w:val="single"/>
        </w:rPr>
        <w:t>Business Support</w:t>
      </w:r>
    </w:p>
    <w:p w14:paraId="75B4EE96" w14:textId="77777777" w:rsidR="008F21C7" w:rsidRPr="00190FD2" w:rsidRDefault="008F21C7" w:rsidP="008F21C7">
      <w:pPr>
        <w:ind w:firstLine="709"/>
        <w:rPr>
          <w:rFonts w:cs="Arial"/>
          <w:b/>
          <w:bCs/>
          <w:szCs w:val="24"/>
          <w:u w:val="single"/>
        </w:rPr>
      </w:pPr>
    </w:p>
    <w:p w14:paraId="741C1334" w14:textId="5DFBB5C4" w:rsidR="00A367E0" w:rsidRPr="00A367E0" w:rsidRDefault="000D5959" w:rsidP="00FA683C">
      <w:pPr>
        <w:pStyle w:val="ListParagraph"/>
        <w:numPr>
          <w:ilvl w:val="1"/>
          <w:numId w:val="6"/>
        </w:numPr>
        <w:tabs>
          <w:tab w:val="left" w:pos="709"/>
        </w:tabs>
        <w:spacing w:after="120"/>
        <w:ind w:left="709" w:hanging="709"/>
        <w:jc w:val="both"/>
        <w:rPr>
          <w:rFonts w:cs="Arial"/>
          <w:bCs/>
          <w:szCs w:val="24"/>
        </w:rPr>
      </w:pPr>
      <w:r w:rsidRPr="000D5959">
        <w:rPr>
          <w:bCs/>
        </w:rPr>
        <w:t>Business Support</w:t>
      </w:r>
      <w:r w:rsidRPr="000D5959">
        <w:rPr>
          <w:b/>
          <w:bCs/>
        </w:rPr>
        <w:t xml:space="preserve"> </w:t>
      </w:r>
      <w:r w:rsidRPr="000D5959">
        <w:rPr>
          <w:bCs/>
        </w:rPr>
        <w:t>is forecasting to overspend by £877k</w:t>
      </w:r>
      <w:r w:rsidR="009F5F40">
        <w:rPr>
          <w:bCs/>
        </w:rPr>
        <w:t xml:space="preserve"> at Quarter </w:t>
      </w:r>
      <w:r w:rsidR="00A64789">
        <w:rPr>
          <w:bCs/>
        </w:rPr>
        <w:t xml:space="preserve">2 </w:t>
      </w:r>
      <w:r w:rsidR="00A64789" w:rsidRPr="000D5959">
        <w:rPr>
          <w:bCs/>
        </w:rPr>
        <w:t>compared</w:t>
      </w:r>
      <w:r w:rsidRPr="000D5959">
        <w:rPr>
          <w:bCs/>
        </w:rPr>
        <w:t xml:space="preserve"> to £691k in Quarter 1.  The movement is due to increased demand in the Children’s Services team requiring additional Business Support staff. The MTFS savings target of £650k for ‘Business Support Review’ is resulting in a pressure</w:t>
      </w:r>
      <w:r>
        <w:rPr>
          <w:bCs/>
        </w:rPr>
        <w:t>.</w:t>
      </w:r>
    </w:p>
    <w:p w14:paraId="4E0C5330" w14:textId="6967668A" w:rsidR="004D6EBB" w:rsidRPr="00FA683C" w:rsidRDefault="000D5959" w:rsidP="000D5959">
      <w:pPr>
        <w:pStyle w:val="ListParagraph"/>
        <w:numPr>
          <w:ilvl w:val="1"/>
          <w:numId w:val="6"/>
        </w:numPr>
        <w:tabs>
          <w:tab w:val="left" w:pos="709"/>
        </w:tabs>
        <w:spacing w:after="240"/>
        <w:ind w:left="709" w:hanging="709"/>
        <w:jc w:val="both"/>
        <w:rPr>
          <w:b/>
          <w:u w:val="single"/>
        </w:rPr>
      </w:pPr>
      <w:r w:rsidRPr="00FA683C">
        <w:rPr>
          <w:bCs/>
        </w:rPr>
        <w:t>A review of the Business Support budgets has been taking place with an analysis of the support required to the Children</w:t>
      </w:r>
      <w:r w:rsidR="001347B9" w:rsidRPr="00FA683C">
        <w:rPr>
          <w:bCs/>
        </w:rPr>
        <w:t>’</w:t>
      </w:r>
      <w:r w:rsidRPr="00FA683C">
        <w:rPr>
          <w:bCs/>
        </w:rPr>
        <w:t>s front line service, in response to significant demand led pressures</w:t>
      </w:r>
      <w:r w:rsidR="001347B9" w:rsidRPr="00FA683C">
        <w:rPr>
          <w:bCs/>
        </w:rPr>
        <w:t>.</w:t>
      </w:r>
      <w:r w:rsidRPr="00FA683C">
        <w:rPr>
          <w:bCs/>
        </w:rPr>
        <w:t xml:space="preserve"> This has included reviewing Business Support activity within Children</w:t>
      </w:r>
      <w:r w:rsidR="001347B9" w:rsidRPr="00FA683C">
        <w:rPr>
          <w:bCs/>
        </w:rPr>
        <w:t>’</w:t>
      </w:r>
      <w:r w:rsidRPr="00FA683C">
        <w:rPr>
          <w:bCs/>
        </w:rPr>
        <w:t xml:space="preserve">s Services. </w:t>
      </w:r>
      <w:r w:rsidR="001347B9" w:rsidRPr="00FA683C">
        <w:rPr>
          <w:bCs/>
        </w:rPr>
        <w:t xml:space="preserve">The cost pressure associated with </w:t>
      </w:r>
      <w:r w:rsidR="007D291B" w:rsidRPr="00FA683C">
        <w:rPr>
          <w:bCs/>
        </w:rPr>
        <w:t>this review is</w:t>
      </w:r>
      <w:r w:rsidR="001347B9" w:rsidRPr="00FA683C">
        <w:rPr>
          <w:bCs/>
        </w:rPr>
        <w:t xml:space="preserve"> reflected in the children’s </w:t>
      </w:r>
      <w:r w:rsidR="00F164AA">
        <w:rPr>
          <w:bCs/>
        </w:rPr>
        <w:lastRenderedPageBreak/>
        <w:t>f</w:t>
      </w:r>
      <w:r w:rsidR="001347B9" w:rsidRPr="00FA683C">
        <w:rPr>
          <w:bCs/>
        </w:rPr>
        <w:t xml:space="preserve">orecast for 16/17 and will be </w:t>
      </w:r>
      <w:r w:rsidR="00F164AA" w:rsidRPr="00FA683C">
        <w:rPr>
          <w:bCs/>
        </w:rPr>
        <w:t>transfer</w:t>
      </w:r>
      <w:r w:rsidR="00F164AA">
        <w:rPr>
          <w:bCs/>
        </w:rPr>
        <w:t>r</w:t>
      </w:r>
      <w:r w:rsidR="00F164AA" w:rsidRPr="00FA683C">
        <w:rPr>
          <w:bCs/>
        </w:rPr>
        <w:t>ed</w:t>
      </w:r>
      <w:r w:rsidR="001347B9" w:rsidRPr="00FA683C">
        <w:rPr>
          <w:bCs/>
        </w:rPr>
        <w:t xml:space="preserve"> to Business support next financial year.</w:t>
      </w:r>
      <w:bookmarkEnd w:id="1"/>
    </w:p>
    <w:p w14:paraId="289BF832" w14:textId="77777777" w:rsidR="00FA683C" w:rsidRPr="00FA683C" w:rsidRDefault="00FA683C" w:rsidP="00FA683C">
      <w:pPr>
        <w:pStyle w:val="ListParagraph"/>
        <w:tabs>
          <w:tab w:val="left" w:pos="709"/>
        </w:tabs>
        <w:spacing w:after="240"/>
        <w:ind w:left="709"/>
        <w:jc w:val="both"/>
        <w:rPr>
          <w:b/>
          <w:u w:val="single"/>
        </w:rPr>
      </w:pPr>
    </w:p>
    <w:p w14:paraId="31B8DCE1" w14:textId="77454921" w:rsidR="00BD6EA7" w:rsidRPr="000D5959" w:rsidRDefault="00D258AC" w:rsidP="000D5959">
      <w:pPr>
        <w:tabs>
          <w:tab w:val="left" w:pos="709"/>
        </w:tabs>
        <w:spacing w:after="240"/>
        <w:jc w:val="both"/>
        <w:rPr>
          <w:b/>
          <w:u w:val="single"/>
        </w:rPr>
      </w:pPr>
      <w:r w:rsidRPr="000D5959">
        <w:rPr>
          <w:b/>
          <w:u w:val="single"/>
        </w:rPr>
        <w:t>C</w:t>
      </w:r>
      <w:r w:rsidR="00152955" w:rsidRPr="000D5959">
        <w:rPr>
          <w:b/>
          <w:u w:val="single"/>
        </w:rPr>
        <w:t>ommunity Directorate</w:t>
      </w:r>
    </w:p>
    <w:p w14:paraId="1BFE65FA" w14:textId="7BFE74E3" w:rsidR="0022766E" w:rsidRPr="0021777C" w:rsidRDefault="00AC2BAA" w:rsidP="00AC2BAA">
      <w:pPr>
        <w:pStyle w:val="Heading4"/>
        <w:spacing w:after="120"/>
        <w:ind w:left="720" w:hanging="720"/>
      </w:pPr>
      <w:r>
        <w:rPr>
          <w:b w:val="0"/>
        </w:rPr>
        <w:t>2.9</w:t>
      </w:r>
      <w:r>
        <w:rPr>
          <w:b w:val="0"/>
        </w:rPr>
        <w:tab/>
      </w:r>
      <w:r w:rsidR="0022766E" w:rsidRPr="008A73C4">
        <w:rPr>
          <w:b w:val="0"/>
        </w:rPr>
        <w:t xml:space="preserve">At Quarter </w:t>
      </w:r>
      <w:r w:rsidR="002E7F35">
        <w:rPr>
          <w:b w:val="0"/>
        </w:rPr>
        <w:t>2</w:t>
      </w:r>
      <w:r w:rsidR="0022766E" w:rsidRPr="008A73C4">
        <w:rPr>
          <w:b w:val="0"/>
        </w:rPr>
        <w:t xml:space="preserve"> the Community Directorate is forecasting an overspend of £</w:t>
      </w:r>
      <w:r w:rsidR="002E7F35">
        <w:rPr>
          <w:b w:val="0"/>
        </w:rPr>
        <w:t xml:space="preserve">3.276m </w:t>
      </w:r>
      <w:r w:rsidR="001347B9">
        <w:rPr>
          <w:b w:val="0"/>
        </w:rPr>
        <w:t>an improvement</w:t>
      </w:r>
      <w:r w:rsidR="005D1119">
        <w:rPr>
          <w:b w:val="0"/>
        </w:rPr>
        <w:t xml:space="preserve"> from quarter 1 of </w:t>
      </w:r>
      <w:r w:rsidR="002E7F35">
        <w:rPr>
          <w:b w:val="0"/>
        </w:rPr>
        <w:t>£529k</w:t>
      </w:r>
      <w:r w:rsidR="003338E7">
        <w:rPr>
          <w:b w:val="0"/>
        </w:rPr>
        <w:t>.</w:t>
      </w:r>
      <w:r w:rsidR="00A14F45">
        <w:rPr>
          <w:b w:val="0"/>
        </w:rPr>
        <w:t xml:space="preserve"> </w:t>
      </w:r>
    </w:p>
    <w:p w14:paraId="45CBC636" w14:textId="2B09D61F" w:rsidR="009F5F40" w:rsidRPr="00A533C8" w:rsidRDefault="001347B9" w:rsidP="001347B9">
      <w:pPr>
        <w:ind w:left="851"/>
        <w:rPr>
          <w:b/>
          <w:u w:val="single"/>
        </w:rPr>
      </w:pPr>
      <w:r>
        <w:t xml:space="preserve">    </w:t>
      </w:r>
      <w:r w:rsidR="00A533C8">
        <w:rPr>
          <w:b/>
          <w:u w:val="single"/>
        </w:rPr>
        <w:t xml:space="preserve">Table 3: Community </w:t>
      </w:r>
      <w:r w:rsidR="00E46742">
        <w:rPr>
          <w:b/>
          <w:u w:val="single"/>
        </w:rPr>
        <w:t xml:space="preserve">Directorate’s </w:t>
      </w:r>
      <w:r w:rsidR="00A533C8">
        <w:rPr>
          <w:b/>
          <w:u w:val="single"/>
        </w:rPr>
        <w:t>Variance</w:t>
      </w:r>
      <w:r w:rsidRPr="00A533C8">
        <w:rPr>
          <w:b/>
          <w:u w:val="single"/>
        </w:rPr>
        <w:t xml:space="preserve"> </w:t>
      </w:r>
    </w:p>
    <w:p w14:paraId="477CF3BD" w14:textId="77777777" w:rsidR="00A533C8" w:rsidRPr="00972F70" w:rsidRDefault="00A533C8" w:rsidP="001347B9">
      <w:pPr>
        <w:ind w:left="851"/>
      </w:pPr>
    </w:p>
    <w:tbl>
      <w:tblPr>
        <w:tblW w:w="6991" w:type="dxa"/>
        <w:tblInd w:w="1245" w:type="dxa"/>
        <w:tblLayout w:type="fixed"/>
        <w:tblLook w:val="04A0" w:firstRow="1" w:lastRow="0" w:firstColumn="1" w:lastColumn="0" w:noHBand="0" w:noVBand="1"/>
      </w:tblPr>
      <w:tblGrid>
        <w:gridCol w:w="2702"/>
        <w:gridCol w:w="1436"/>
        <w:gridCol w:w="1436"/>
        <w:gridCol w:w="1417"/>
      </w:tblGrid>
      <w:tr w:rsidR="009F5F40" w:rsidRPr="009F5F40" w14:paraId="1AE89326" w14:textId="77777777" w:rsidTr="0035160F">
        <w:trPr>
          <w:trHeight w:val="899"/>
        </w:trPr>
        <w:tc>
          <w:tcPr>
            <w:tcW w:w="27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FDD36" w14:textId="77777777" w:rsidR="009F5F40" w:rsidRPr="009F5F40" w:rsidRDefault="009F5F40" w:rsidP="009F5F40">
            <w:pPr>
              <w:rPr>
                <w:rFonts w:cs="Arial"/>
                <w:color w:val="000000"/>
                <w:szCs w:val="24"/>
                <w:lang w:eastAsia="en-GB"/>
              </w:rPr>
            </w:pPr>
            <w:r w:rsidRPr="009F5F40">
              <w:rPr>
                <w:rFonts w:cs="Arial"/>
                <w:color w:val="000000"/>
                <w:szCs w:val="24"/>
                <w:lang w:eastAsia="en-GB"/>
              </w:rPr>
              <w:t> </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0556210F" w14:textId="77777777" w:rsidR="009F5F40" w:rsidRPr="009F5F40" w:rsidRDefault="009F5F40" w:rsidP="009F5F40">
            <w:pPr>
              <w:rPr>
                <w:rFonts w:cs="Arial"/>
                <w:color w:val="000000"/>
                <w:szCs w:val="24"/>
                <w:lang w:eastAsia="en-GB"/>
              </w:rPr>
            </w:pPr>
            <w:r w:rsidRPr="009F5F40">
              <w:rPr>
                <w:rFonts w:cs="Arial"/>
                <w:color w:val="000000"/>
                <w:szCs w:val="24"/>
                <w:lang w:eastAsia="en-GB"/>
              </w:rPr>
              <w:t>Q2 Variance</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543EF804" w14:textId="77777777" w:rsidR="009F5F40" w:rsidRPr="009F5F40" w:rsidRDefault="009F5F40" w:rsidP="009F5F40">
            <w:pPr>
              <w:rPr>
                <w:rFonts w:cs="Arial"/>
                <w:color w:val="000000"/>
                <w:szCs w:val="24"/>
                <w:lang w:eastAsia="en-GB"/>
              </w:rPr>
            </w:pPr>
            <w:r w:rsidRPr="009F5F40">
              <w:rPr>
                <w:rFonts w:cs="Arial"/>
                <w:color w:val="000000"/>
                <w:szCs w:val="24"/>
                <w:lang w:eastAsia="en-GB"/>
              </w:rPr>
              <w:t>Q1 Variance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EBD9ACE" w14:textId="77777777" w:rsidR="009F5F40" w:rsidRPr="009F5F40" w:rsidRDefault="009F5F40" w:rsidP="009F5F40">
            <w:pPr>
              <w:rPr>
                <w:rFonts w:cs="Arial"/>
                <w:color w:val="000000"/>
                <w:szCs w:val="24"/>
                <w:lang w:eastAsia="en-GB"/>
              </w:rPr>
            </w:pPr>
            <w:r w:rsidRPr="009F5F40">
              <w:rPr>
                <w:rFonts w:cs="Arial"/>
                <w:color w:val="000000"/>
                <w:szCs w:val="24"/>
                <w:lang w:eastAsia="en-GB"/>
              </w:rPr>
              <w:t>Movement between Q1 and Q2</w:t>
            </w:r>
          </w:p>
        </w:tc>
      </w:tr>
      <w:tr w:rsidR="009F5F40" w:rsidRPr="009F5F40" w14:paraId="4540F28B" w14:textId="77777777" w:rsidTr="000A5229">
        <w:trPr>
          <w:trHeight w:val="309"/>
        </w:trPr>
        <w:tc>
          <w:tcPr>
            <w:tcW w:w="2702" w:type="dxa"/>
            <w:tcBorders>
              <w:top w:val="nil"/>
              <w:left w:val="single" w:sz="8" w:space="0" w:color="auto"/>
              <w:bottom w:val="single" w:sz="8" w:space="0" w:color="auto"/>
              <w:right w:val="single" w:sz="8" w:space="0" w:color="auto"/>
            </w:tcBorders>
            <w:shd w:val="clear" w:color="auto" w:fill="auto"/>
            <w:noWrap/>
            <w:vAlign w:val="center"/>
            <w:hideMark/>
          </w:tcPr>
          <w:p w14:paraId="6761E920" w14:textId="77777777" w:rsidR="009F5F40" w:rsidRPr="009F5F40" w:rsidRDefault="009F5F40" w:rsidP="009F5F40">
            <w:pPr>
              <w:rPr>
                <w:rFonts w:cs="Arial"/>
                <w:color w:val="000000"/>
                <w:szCs w:val="24"/>
                <w:lang w:eastAsia="en-GB"/>
              </w:rPr>
            </w:pPr>
            <w:r w:rsidRPr="009F5F40">
              <w:rPr>
                <w:rFonts w:cs="Arial"/>
                <w:color w:val="000000"/>
                <w:szCs w:val="24"/>
                <w:lang w:eastAsia="en-GB"/>
              </w:rPr>
              <w:t> </w:t>
            </w:r>
          </w:p>
        </w:tc>
        <w:tc>
          <w:tcPr>
            <w:tcW w:w="1436" w:type="dxa"/>
            <w:tcBorders>
              <w:top w:val="nil"/>
              <w:left w:val="nil"/>
              <w:bottom w:val="single" w:sz="8" w:space="0" w:color="auto"/>
              <w:right w:val="single" w:sz="8" w:space="0" w:color="auto"/>
            </w:tcBorders>
            <w:shd w:val="clear" w:color="auto" w:fill="auto"/>
            <w:vAlign w:val="center"/>
            <w:hideMark/>
          </w:tcPr>
          <w:p w14:paraId="3239660A"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c>
          <w:tcPr>
            <w:tcW w:w="1436" w:type="dxa"/>
            <w:tcBorders>
              <w:top w:val="nil"/>
              <w:left w:val="nil"/>
              <w:bottom w:val="single" w:sz="8" w:space="0" w:color="auto"/>
              <w:right w:val="single" w:sz="8" w:space="0" w:color="auto"/>
            </w:tcBorders>
            <w:shd w:val="clear" w:color="auto" w:fill="auto"/>
            <w:vAlign w:val="center"/>
            <w:hideMark/>
          </w:tcPr>
          <w:p w14:paraId="5F0C594F"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c>
          <w:tcPr>
            <w:tcW w:w="1417" w:type="dxa"/>
            <w:tcBorders>
              <w:top w:val="nil"/>
              <w:left w:val="nil"/>
              <w:bottom w:val="single" w:sz="8" w:space="0" w:color="auto"/>
              <w:right w:val="single" w:sz="8" w:space="0" w:color="auto"/>
            </w:tcBorders>
            <w:shd w:val="clear" w:color="auto" w:fill="auto"/>
            <w:vAlign w:val="center"/>
            <w:hideMark/>
          </w:tcPr>
          <w:p w14:paraId="77CB1712" w14:textId="77777777" w:rsidR="009F5F40" w:rsidRPr="009F5F40" w:rsidRDefault="009F5F40" w:rsidP="009F5F40">
            <w:pPr>
              <w:rPr>
                <w:rFonts w:cs="Arial"/>
                <w:color w:val="000000"/>
                <w:szCs w:val="24"/>
                <w:lang w:eastAsia="en-GB"/>
              </w:rPr>
            </w:pPr>
            <w:r w:rsidRPr="009F5F40">
              <w:rPr>
                <w:rFonts w:cs="Arial"/>
                <w:color w:val="000000"/>
                <w:szCs w:val="24"/>
                <w:lang w:eastAsia="en-GB"/>
              </w:rPr>
              <w:t>£'000</w:t>
            </w:r>
          </w:p>
        </w:tc>
      </w:tr>
      <w:tr w:rsidR="009F5F40" w:rsidRPr="009F5F40" w14:paraId="2CD056DE" w14:textId="77777777" w:rsidTr="0035160F">
        <w:trPr>
          <w:trHeight w:val="661"/>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67A592A3" w14:textId="77777777" w:rsidR="009F5F40" w:rsidRPr="009F5F40" w:rsidRDefault="009F5F40" w:rsidP="009F5F40">
            <w:pPr>
              <w:rPr>
                <w:rFonts w:cs="Arial"/>
                <w:color w:val="000000"/>
                <w:szCs w:val="24"/>
                <w:lang w:eastAsia="en-GB"/>
              </w:rPr>
            </w:pPr>
            <w:r w:rsidRPr="009F5F40">
              <w:rPr>
                <w:rFonts w:cs="Arial"/>
                <w:color w:val="000000"/>
                <w:szCs w:val="24"/>
                <w:lang w:eastAsia="en-GB"/>
              </w:rPr>
              <w:t>Commissioning &amp; Commercialisation</w:t>
            </w:r>
          </w:p>
        </w:tc>
        <w:tc>
          <w:tcPr>
            <w:tcW w:w="1436" w:type="dxa"/>
            <w:tcBorders>
              <w:top w:val="nil"/>
              <w:left w:val="nil"/>
              <w:bottom w:val="single" w:sz="8" w:space="0" w:color="auto"/>
              <w:right w:val="single" w:sz="8" w:space="0" w:color="auto"/>
            </w:tcBorders>
            <w:shd w:val="clear" w:color="auto" w:fill="auto"/>
            <w:noWrap/>
            <w:vAlign w:val="center"/>
            <w:hideMark/>
          </w:tcPr>
          <w:p w14:paraId="55F776BE" w14:textId="58D154B0"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410</w:t>
            </w:r>
            <w:r>
              <w:rPr>
                <w:rFonts w:cs="Arial"/>
                <w:color w:val="000000"/>
                <w:szCs w:val="24"/>
                <w:lang w:eastAsia="en-GB"/>
              </w:rPr>
              <w:t>)</w:t>
            </w:r>
          </w:p>
        </w:tc>
        <w:tc>
          <w:tcPr>
            <w:tcW w:w="1436" w:type="dxa"/>
            <w:tcBorders>
              <w:top w:val="nil"/>
              <w:left w:val="nil"/>
              <w:bottom w:val="single" w:sz="8" w:space="0" w:color="auto"/>
              <w:right w:val="single" w:sz="8" w:space="0" w:color="auto"/>
            </w:tcBorders>
            <w:shd w:val="clear" w:color="auto" w:fill="auto"/>
            <w:vAlign w:val="center"/>
            <w:hideMark/>
          </w:tcPr>
          <w:p w14:paraId="119336B6" w14:textId="7395F211"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500</w:t>
            </w:r>
            <w:r>
              <w:rPr>
                <w:rFonts w:cs="Arial"/>
                <w:color w:val="000000"/>
                <w:szCs w:val="24"/>
                <w:lang w:eastAsia="en-GB"/>
              </w:rPr>
              <w:t>)</w:t>
            </w:r>
          </w:p>
        </w:tc>
        <w:tc>
          <w:tcPr>
            <w:tcW w:w="1417" w:type="dxa"/>
            <w:tcBorders>
              <w:top w:val="nil"/>
              <w:left w:val="nil"/>
              <w:bottom w:val="single" w:sz="8" w:space="0" w:color="auto"/>
              <w:right w:val="single" w:sz="8" w:space="0" w:color="auto"/>
            </w:tcBorders>
            <w:shd w:val="clear" w:color="auto" w:fill="auto"/>
            <w:vAlign w:val="center"/>
            <w:hideMark/>
          </w:tcPr>
          <w:p w14:paraId="57A695DE"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90</w:t>
            </w:r>
          </w:p>
        </w:tc>
      </w:tr>
      <w:tr w:rsidR="009F5F40" w:rsidRPr="009F5F40" w14:paraId="695E1289" w14:textId="77777777" w:rsidTr="0035160F">
        <w:trPr>
          <w:trHeight w:val="40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4FA147BB" w14:textId="77777777" w:rsidR="009F5F40" w:rsidRPr="009F5F40" w:rsidRDefault="009F5F40" w:rsidP="009F5F40">
            <w:pPr>
              <w:rPr>
                <w:rFonts w:cs="Arial"/>
                <w:color w:val="000000"/>
                <w:szCs w:val="24"/>
                <w:lang w:eastAsia="en-GB"/>
              </w:rPr>
            </w:pPr>
            <w:r w:rsidRPr="009F5F40">
              <w:rPr>
                <w:rFonts w:cs="Arial"/>
                <w:color w:val="000000"/>
                <w:szCs w:val="24"/>
                <w:lang w:eastAsia="en-GB"/>
              </w:rPr>
              <w:t>Environment &amp; Culture</w:t>
            </w:r>
          </w:p>
        </w:tc>
        <w:tc>
          <w:tcPr>
            <w:tcW w:w="1436" w:type="dxa"/>
            <w:tcBorders>
              <w:top w:val="nil"/>
              <w:left w:val="nil"/>
              <w:bottom w:val="single" w:sz="8" w:space="0" w:color="auto"/>
              <w:right w:val="single" w:sz="8" w:space="0" w:color="auto"/>
            </w:tcBorders>
            <w:shd w:val="clear" w:color="auto" w:fill="auto"/>
            <w:noWrap/>
            <w:vAlign w:val="center"/>
            <w:hideMark/>
          </w:tcPr>
          <w:p w14:paraId="7949BCE7"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1,204</w:t>
            </w:r>
          </w:p>
        </w:tc>
        <w:tc>
          <w:tcPr>
            <w:tcW w:w="1436" w:type="dxa"/>
            <w:tcBorders>
              <w:top w:val="nil"/>
              <w:left w:val="nil"/>
              <w:bottom w:val="single" w:sz="8" w:space="0" w:color="auto"/>
              <w:right w:val="single" w:sz="8" w:space="0" w:color="auto"/>
            </w:tcBorders>
            <w:shd w:val="clear" w:color="auto" w:fill="auto"/>
            <w:vAlign w:val="center"/>
            <w:hideMark/>
          </w:tcPr>
          <w:p w14:paraId="1CE0E04F"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842</w:t>
            </w:r>
          </w:p>
        </w:tc>
        <w:tc>
          <w:tcPr>
            <w:tcW w:w="1417" w:type="dxa"/>
            <w:tcBorders>
              <w:top w:val="nil"/>
              <w:left w:val="nil"/>
              <w:bottom w:val="single" w:sz="8" w:space="0" w:color="auto"/>
              <w:right w:val="single" w:sz="8" w:space="0" w:color="auto"/>
            </w:tcBorders>
            <w:shd w:val="clear" w:color="auto" w:fill="auto"/>
            <w:vAlign w:val="center"/>
            <w:hideMark/>
          </w:tcPr>
          <w:p w14:paraId="7A09E9DF"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362</w:t>
            </w:r>
          </w:p>
        </w:tc>
      </w:tr>
      <w:tr w:rsidR="009F5F40" w:rsidRPr="009F5F40" w14:paraId="3E1D7606" w14:textId="77777777" w:rsidTr="0035160F">
        <w:trPr>
          <w:trHeight w:val="542"/>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58F9FBA4" w14:textId="77777777" w:rsidR="009F5F40" w:rsidRPr="009F5F40" w:rsidRDefault="009F5F40" w:rsidP="009F5F40">
            <w:pPr>
              <w:rPr>
                <w:rFonts w:cs="Arial"/>
                <w:color w:val="000000"/>
                <w:szCs w:val="24"/>
                <w:lang w:eastAsia="en-GB"/>
              </w:rPr>
            </w:pPr>
            <w:r w:rsidRPr="009F5F40">
              <w:rPr>
                <w:rFonts w:cs="Arial"/>
                <w:color w:val="000000"/>
                <w:szCs w:val="24"/>
                <w:lang w:eastAsia="en-GB"/>
              </w:rPr>
              <w:t>Directorate Management</w:t>
            </w:r>
          </w:p>
        </w:tc>
        <w:tc>
          <w:tcPr>
            <w:tcW w:w="1436" w:type="dxa"/>
            <w:tcBorders>
              <w:top w:val="nil"/>
              <w:left w:val="nil"/>
              <w:bottom w:val="single" w:sz="8" w:space="0" w:color="auto"/>
              <w:right w:val="single" w:sz="8" w:space="0" w:color="auto"/>
            </w:tcBorders>
            <w:shd w:val="clear" w:color="auto" w:fill="auto"/>
            <w:noWrap/>
            <w:vAlign w:val="center"/>
            <w:hideMark/>
          </w:tcPr>
          <w:p w14:paraId="0937B5AC" w14:textId="14C9F52A"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96</w:t>
            </w:r>
            <w:r>
              <w:rPr>
                <w:rFonts w:cs="Arial"/>
                <w:color w:val="000000"/>
                <w:szCs w:val="24"/>
                <w:lang w:eastAsia="en-GB"/>
              </w:rPr>
              <w:t>)</w:t>
            </w:r>
          </w:p>
        </w:tc>
        <w:tc>
          <w:tcPr>
            <w:tcW w:w="1436" w:type="dxa"/>
            <w:tcBorders>
              <w:top w:val="nil"/>
              <w:left w:val="nil"/>
              <w:bottom w:val="single" w:sz="8" w:space="0" w:color="auto"/>
              <w:right w:val="single" w:sz="8" w:space="0" w:color="auto"/>
            </w:tcBorders>
            <w:shd w:val="clear" w:color="auto" w:fill="auto"/>
            <w:vAlign w:val="center"/>
            <w:hideMark/>
          </w:tcPr>
          <w:p w14:paraId="39413AF6" w14:textId="318CCC38"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92</w:t>
            </w:r>
            <w:r>
              <w:rPr>
                <w:rFonts w:cs="Arial"/>
                <w:color w:val="000000"/>
                <w:szCs w:val="24"/>
                <w:lang w:eastAsia="en-GB"/>
              </w:rPr>
              <w:t>)</w:t>
            </w:r>
          </w:p>
        </w:tc>
        <w:tc>
          <w:tcPr>
            <w:tcW w:w="1417" w:type="dxa"/>
            <w:tcBorders>
              <w:top w:val="nil"/>
              <w:left w:val="nil"/>
              <w:bottom w:val="single" w:sz="8" w:space="0" w:color="auto"/>
              <w:right w:val="single" w:sz="8" w:space="0" w:color="auto"/>
            </w:tcBorders>
            <w:shd w:val="clear" w:color="auto" w:fill="auto"/>
            <w:vAlign w:val="center"/>
            <w:hideMark/>
          </w:tcPr>
          <w:p w14:paraId="167FC10B" w14:textId="518003AA"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4</w:t>
            </w:r>
            <w:r>
              <w:rPr>
                <w:rFonts w:cs="Arial"/>
                <w:color w:val="000000"/>
                <w:szCs w:val="24"/>
                <w:lang w:eastAsia="en-GB"/>
              </w:rPr>
              <w:t>)</w:t>
            </w:r>
          </w:p>
        </w:tc>
      </w:tr>
      <w:tr w:rsidR="009F5F40" w:rsidRPr="009F5F40" w14:paraId="0E7BED97" w14:textId="77777777" w:rsidTr="0035160F">
        <w:trPr>
          <w:trHeight w:val="408"/>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0B459269" w14:textId="77777777" w:rsidR="009F5F40" w:rsidRPr="009F5F40" w:rsidRDefault="009F5F40" w:rsidP="009F5F40">
            <w:pPr>
              <w:rPr>
                <w:rFonts w:cs="Arial"/>
                <w:color w:val="000000"/>
                <w:szCs w:val="24"/>
                <w:lang w:eastAsia="en-GB"/>
              </w:rPr>
            </w:pPr>
            <w:r w:rsidRPr="009F5F40">
              <w:rPr>
                <w:rFonts w:cs="Arial"/>
                <w:color w:val="000000"/>
                <w:szCs w:val="24"/>
                <w:lang w:eastAsia="en-GB"/>
              </w:rPr>
              <w:t>Housing General Fund</w:t>
            </w:r>
          </w:p>
        </w:tc>
        <w:tc>
          <w:tcPr>
            <w:tcW w:w="1436" w:type="dxa"/>
            <w:tcBorders>
              <w:top w:val="nil"/>
              <w:left w:val="nil"/>
              <w:bottom w:val="single" w:sz="8" w:space="0" w:color="auto"/>
              <w:right w:val="single" w:sz="8" w:space="0" w:color="auto"/>
            </w:tcBorders>
            <w:shd w:val="clear" w:color="auto" w:fill="auto"/>
            <w:noWrap/>
            <w:vAlign w:val="center"/>
            <w:hideMark/>
          </w:tcPr>
          <w:p w14:paraId="070E6B8A"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2,996</w:t>
            </w:r>
          </w:p>
        </w:tc>
        <w:tc>
          <w:tcPr>
            <w:tcW w:w="1436" w:type="dxa"/>
            <w:tcBorders>
              <w:top w:val="nil"/>
              <w:left w:val="nil"/>
              <w:bottom w:val="single" w:sz="8" w:space="0" w:color="auto"/>
              <w:right w:val="single" w:sz="8" w:space="0" w:color="auto"/>
            </w:tcBorders>
            <w:shd w:val="clear" w:color="auto" w:fill="auto"/>
            <w:vAlign w:val="center"/>
            <w:hideMark/>
          </w:tcPr>
          <w:p w14:paraId="4F4032BF"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3,555</w:t>
            </w:r>
          </w:p>
        </w:tc>
        <w:tc>
          <w:tcPr>
            <w:tcW w:w="1417" w:type="dxa"/>
            <w:tcBorders>
              <w:top w:val="nil"/>
              <w:left w:val="nil"/>
              <w:bottom w:val="single" w:sz="8" w:space="0" w:color="auto"/>
              <w:right w:val="single" w:sz="8" w:space="0" w:color="auto"/>
            </w:tcBorders>
            <w:shd w:val="clear" w:color="auto" w:fill="auto"/>
            <w:vAlign w:val="center"/>
            <w:hideMark/>
          </w:tcPr>
          <w:p w14:paraId="6CE7AA44" w14:textId="16983D65"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559</w:t>
            </w:r>
            <w:r>
              <w:rPr>
                <w:rFonts w:cs="Arial"/>
                <w:color w:val="000000"/>
                <w:szCs w:val="24"/>
                <w:lang w:eastAsia="en-GB"/>
              </w:rPr>
              <w:t>)</w:t>
            </w:r>
          </w:p>
        </w:tc>
      </w:tr>
      <w:tr w:rsidR="009F5F40" w:rsidRPr="009F5F40" w14:paraId="39D1A76E" w14:textId="77777777" w:rsidTr="000A5229">
        <w:trPr>
          <w:trHeight w:val="604"/>
        </w:trPr>
        <w:tc>
          <w:tcPr>
            <w:tcW w:w="2702" w:type="dxa"/>
            <w:tcBorders>
              <w:top w:val="nil"/>
              <w:left w:val="single" w:sz="8" w:space="0" w:color="auto"/>
              <w:bottom w:val="single" w:sz="8" w:space="0" w:color="auto"/>
              <w:right w:val="single" w:sz="8" w:space="0" w:color="auto"/>
            </w:tcBorders>
            <w:shd w:val="clear" w:color="auto" w:fill="auto"/>
            <w:vAlign w:val="center"/>
            <w:hideMark/>
          </w:tcPr>
          <w:p w14:paraId="43566923" w14:textId="77777777" w:rsidR="009F5F40" w:rsidRPr="009F5F40" w:rsidRDefault="009F5F40" w:rsidP="009F5F40">
            <w:pPr>
              <w:rPr>
                <w:rFonts w:cs="Arial"/>
                <w:color w:val="000000"/>
                <w:szCs w:val="24"/>
                <w:lang w:eastAsia="en-GB"/>
              </w:rPr>
            </w:pPr>
            <w:r w:rsidRPr="009F5F40">
              <w:rPr>
                <w:rFonts w:cs="Arial"/>
                <w:color w:val="000000"/>
                <w:szCs w:val="24"/>
                <w:lang w:eastAsia="en-GB"/>
              </w:rPr>
              <w:t>One off in-year mitigations</w:t>
            </w:r>
          </w:p>
        </w:tc>
        <w:tc>
          <w:tcPr>
            <w:tcW w:w="1436" w:type="dxa"/>
            <w:tcBorders>
              <w:top w:val="nil"/>
              <w:left w:val="nil"/>
              <w:bottom w:val="single" w:sz="8" w:space="0" w:color="auto"/>
              <w:right w:val="single" w:sz="8" w:space="0" w:color="auto"/>
            </w:tcBorders>
            <w:shd w:val="clear" w:color="auto" w:fill="auto"/>
            <w:noWrap/>
            <w:vAlign w:val="center"/>
            <w:hideMark/>
          </w:tcPr>
          <w:p w14:paraId="650C2ECB" w14:textId="648246F7"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418</w:t>
            </w:r>
            <w:r>
              <w:rPr>
                <w:rFonts w:cs="Arial"/>
                <w:color w:val="000000"/>
                <w:szCs w:val="24"/>
                <w:lang w:eastAsia="en-GB"/>
              </w:rPr>
              <w:t>)</w:t>
            </w:r>
          </w:p>
        </w:tc>
        <w:tc>
          <w:tcPr>
            <w:tcW w:w="1436" w:type="dxa"/>
            <w:tcBorders>
              <w:top w:val="nil"/>
              <w:left w:val="nil"/>
              <w:bottom w:val="single" w:sz="8" w:space="0" w:color="auto"/>
              <w:right w:val="single" w:sz="8" w:space="0" w:color="auto"/>
            </w:tcBorders>
            <w:shd w:val="clear" w:color="auto" w:fill="auto"/>
            <w:vAlign w:val="center"/>
            <w:hideMark/>
          </w:tcPr>
          <w:p w14:paraId="1F6BFBBD" w14:textId="77777777" w:rsidR="009F5F40" w:rsidRPr="009F5F40" w:rsidRDefault="009F5F40" w:rsidP="009F5F40">
            <w:pPr>
              <w:rPr>
                <w:rFonts w:cs="Arial"/>
                <w:color w:val="000000"/>
                <w:szCs w:val="24"/>
                <w:lang w:eastAsia="en-GB"/>
              </w:rPr>
            </w:pPr>
            <w:r w:rsidRPr="009F5F40">
              <w:rPr>
                <w:rFonts w:cs="Arial"/>
                <w:color w:val="000000"/>
                <w:szCs w:val="24"/>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14:paraId="0CA53AE9" w14:textId="467112D5"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418</w:t>
            </w:r>
            <w:r>
              <w:rPr>
                <w:rFonts w:cs="Arial"/>
                <w:color w:val="000000"/>
                <w:szCs w:val="24"/>
                <w:lang w:eastAsia="en-GB"/>
              </w:rPr>
              <w:t>)</w:t>
            </w:r>
          </w:p>
        </w:tc>
      </w:tr>
      <w:tr w:rsidR="009F5F40" w:rsidRPr="009F5F40" w14:paraId="278E748F" w14:textId="77777777" w:rsidTr="00B672AF">
        <w:trPr>
          <w:trHeight w:val="57"/>
        </w:trPr>
        <w:tc>
          <w:tcPr>
            <w:tcW w:w="2702" w:type="dxa"/>
            <w:tcBorders>
              <w:top w:val="nil"/>
              <w:left w:val="single" w:sz="8" w:space="0" w:color="auto"/>
              <w:bottom w:val="double" w:sz="6" w:space="0" w:color="auto"/>
              <w:right w:val="single" w:sz="8" w:space="0" w:color="auto"/>
            </w:tcBorders>
            <w:shd w:val="clear" w:color="auto" w:fill="auto"/>
            <w:vAlign w:val="center"/>
            <w:hideMark/>
          </w:tcPr>
          <w:p w14:paraId="3B10F5F0" w14:textId="77777777" w:rsidR="009F5F40" w:rsidRPr="009F5F40" w:rsidRDefault="009F5F40" w:rsidP="009F5F40">
            <w:pPr>
              <w:rPr>
                <w:rFonts w:cs="Arial"/>
                <w:color w:val="000000"/>
                <w:szCs w:val="24"/>
                <w:lang w:eastAsia="en-GB"/>
              </w:rPr>
            </w:pPr>
            <w:r w:rsidRPr="009F5F40">
              <w:rPr>
                <w:rFonts w:cs="Arial"/>
                <w:color w:val="000000"/>
                <w:szCs w:val="24"/>
                <w:lang w:eastAsia="en-GB"/>
              </w:rPr>
              <w:t>Total</w:t>
            </w:r>
          </w:p>
        </w:tc>
        <w:tc>
          <w:tcPr>
            <w:tcW w:w="1436" w:type="dxa"/>
            <w:tcBorders>
              <w:top w:val="nil"/>
              <w:left w:val="nil"/>
              <w:bottom w:val="double" w:sz="6" w:space="0" w:color="auto"/>
              <w:right w:val="single" w:sz="8" w:space="0" w:color="auto"/>
            </w:tcBorders>
            <w:shd w:val="clear" w:color="auto" w:fill="auto"/>
            <w:noWrap/>
            <w:vAlign w:val="center"/>
            <w:hideMark/>
          </w:tcPr>
          <w:p w14:paraId="14B7BCE6"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3,276</w:t>
            </w:r>
          </w:p>
        </w:tc>
        <w:tc>
          <w:tcPr>
            <w:tcW w:w="1436" w:type="dxa"/>
            <w:tcBorders>
              <w:top w:val="nil"/>
              <w:left w:val="nil"/>
              <w:bottom w:val="double" w:sz="6" w:space="0" w:color="auto"/>
              <w:right w:val="single" w:sz="8" w:space="0" w:color="auto"/>
            </w:tcBorders>
            <w:shd w:val="clear" w:color="auto" w:fill="auto"/>
            <w:vAlign w:val="center"/>
            <w:hideMark/>
          </w:tcPr>
          <w:p w14:paraId="67D68CAF" w14:textId="77777777" w:rsidR="009F5F40" w:rsidRPr="009F5F40" w:rsidRDefault="009F5F40" w:rsidP="009F5F40">
            <w:pPr>
              <w:jc w:val="right"/>
              <w:rPr>
                <w:rFonts w:cs="Arial"/>
                <w:color w:val="000000"/>
                <w:szCs w:val="24"/>
                <w:lang w:eastAsia="en-GB"/>
              </w:rPr>
            </w:pPr>
            <w:r w:rsidRPr="009F5F40">
              <w:rPr>
                <w:rFonts w:cs="Arial"/>
                <w:color w:val="000000"/>
                <w:szCs w:val="24"/>
                <w:lang w:eastAsia="en-GB"/>
              </w:rPr>
              <w:t>3,805</w:t>
            </w:r>
          </w:p>
        </w:tc>
        <w:tc>
          <w:tcPr>
            <w:tcW w:w="1417" w:type="dxa"/>
            <w:tcBorders>
              <w:top w:val="nil"/>
              <w:left w:val="nil"/>
              <w:bottom w:val="double" w:sz="6" w:space="0" w:color="auto"/>
              <w:right w:val="single" w:sz="8" w:space="0" w:color="auto"/>
            </w:tcBorders>
            <w:shd w:val="clear" w:color="auto" w:fill="auto"/>
            <w:vAlign w:val="center"/>
            <w:hideMark/>
          </w:tcPr>
          <w:p w14:paraId="2CDFFA34" w14:textId="771AA26D" w:rsidR="009F5F40" w:rsidRPr="009F5F40" w:rsidRDefault="001D70DB" w:rsidP="009F5F40">
            <w:pPr>
              <w:jc w:val="right"/>
              <w:rPr>
                <w:rFonts w:cs="Arial"/>
                <w:color w:val="000000"/>
                <w:szCs w:val="24"/>
                <w:lang w:eastAsia="en-GB"/>
              </w:rPr>
            </w:pPr>
            <w:r>
              <w:rPr>
                <w:rFonts w:cs="Arial"/>
                <w:color w:val="000000"/>
                <w:szCs w:val="24"/>
                <w:lang w:eastAsia="en-GB"/>
              </w:rPr>
              <w:t>(</w:t>
            </w:r>
            <w:r w:rsidR="009F5F40" w:rsidRPr="009F5F40">
              <w:rPr>
                <w:rFonts w:cs="Arial"/>
                <w:color w:val="000000"/>
                <w:szCs w:val="24"/>
                <w:lang w:eastAsia="en-GB"/>
              </w:rPr>
              <w:t>529</w:t>
            </w:r>
            <w:r>
              <w:rPr>
                <w:rFonts w:cs="Arial"/>
                <w:color w:val="000000"/>
                <w:szCs w:val="24"/>
                <w:lang w:eastAsia="en-GB"/>
              </w:rPr>
              <w:t>)</w:t>
            </w:r>
          </w:p>
        </w:tc>
      </w:tr>
    </w:tbl>
    <w:p w14:paraId="099AF12E" w14:textId="213693AB" w:rsidR="0022766E" w:rsidRPr="00972F70" w:rsidRDefault="0022766E" w:rsidP="008A73C4"/>
    <w:p w14:paraId="3994E77E" w14:textId="211216FA" w:rsidR="000A5229" w:rsidRDefault="000A5229" w:rsidP="00AC2BAA">
      <w:pPr>
        <w:pStyle w:val="ListParagraph"/>
        <w:numPr>
          <w:ilvl w:val="1"/>
          <w:numId w:val="32"/>
        </w:numPr>
        <w:spacing w:after="120"/>
        <w:ind w:hanging="689"/>
        <w:jc w:val="both"/>
        <w:rPr>
          <w:bCs/>
        </w:rPr>
      </w:pPr>
      <w:r w:rsidRPr="000A5229">
        <w:rPr>
          <w:bCs/>
          <w:lang w:val="en-US"/>
        </w:rPr>
        <w:t xml:space="preserve">The favorable movements from Quarter 1 to Quarter 2 relate to an improvement in the homelessness pressures of </w:t>
      </w:r>
      <w:r w:rsidR="009C512C">
        <w:rPr>
          <w:bCs/>
          <w:lang w:val="en-US"/>
        </w:rPr>
        <w:t>(</w:t>
      </w:r>
      <w:r w:rsidRPr="009C512C">
        <w:rPr>
          <w:b/>
          <w:bCs/>
          <w:lang w:val="en-US"/>
        </w:rPr>
        <w:t>£559k</w:t>
      </w:r>
      <w:r w:rsidR="009C512C">
        <w:rPr>
          <w:b/>
          <w:bCs/>
          <w:lang w:val="en-US"/>
        </w:rPr>
        <w:t>)</w:t>
      </w:r>
      <w:r w:rsidRPr="000A5229">
        <w:rPr>
          <w:bCs/>
          <w:lang w:val="en-US"/>
        </w:rPr>
        <w:t xml:space="preserve">, which is partially offset by the net additional costs of arts &amp; heritage services </w:t>
      </w:r>
      <w:r w:rsidRPr="009C512C">
        <w:rPr>
          <w:b/>
          <w:bCs/>
          <w:lang w:val="en-US"/>
        </w:rPr>
        <w:t>£226k</w:t>
      </w:r>
      <w:r w:rsidRPr="000A5229">
        <w:rPr>
          <w:bCs/>
          <w:lang w:val="en-US"/>
        </w:rPr>
        <w:t xml:space="preserve">, a reduction in waste services income forecast </w:t>
      </w:r>
      <w:r w:rsidRPr="009C512C">
        <w:rPr>
          <w:b/>
          <w:bCs/>
          <w:lang w:val="en-US"/>
        </w:rPr>
        <w:t>£114k</w:t>
      </w:r>
      <w:r w:rsidRPr="000A5229">
        <w:rPr>
          <w:bCs/>
          <w:lang w:val="en-US"/>
        </w:rPr>
        <w:t xml:space="preserve">, a reduction in the forecast income for Gayton Road car park </w:t>
      </w:r>
      <w:r w:rsidRPr="009C512C">
        <w:rPr>
          <w:b/>
          <w:bCs/>
          <w:lang w:val="en-US"/>
        </w:rPr>
        <w:t>£70k</w:t>
      </w:r>
      <w:r w:rsidRPr="000A5229">
        <w:rPr>
          <w:bCs/>
        </w:rPr>
        <w:t xml:space="preserve"> and</w:t>
      </w:r>
      <w:r w:rsidR="007D1D99">
        <w:rPr>
          <w:bCs/>
        </w:rPr>
        <w:t xml:space="preserve"> a</w:t>
      </w:r>
      <w:r w:rsidRPr="000A5229">
        <w:rPr>
          <w:bCs/>
        </w:rPr>
        <w:t xml:space="preserve"> forecast shortfall on</w:t>
      </w:r>
      <w:r w:rsidR="00673E50">
        <w:rPr>
          <w:bCs/>
        </w:rPr>
        <w:t xml:space="preserve"> “Car wash”</w:t>
      </w:r>
      <w:r w:rsidRPr="000A5229">
        <w:rPr>
          <w:bCs/>
        </w:rPr>
        <w:t xml:space="preserve"> lettings income </w:t>
      </w:r>
      <w:r w:rsidR="007D1D99">
        <w:rPr>
          <w:bCs/>
        </w:rPr>
        <w:t xml:space="preserve">of </w:t>
      </w:r>
      <w:r w:rsidRPr="009C512C">
        <w:rPr>
          <w:b/>
          <w:bCs/>
        </w:rPr>
        <w:t>£20k</w:t>
      </w:r>
      <w:r w:rsidRPr="000A5229">
        <w:rPr>
          <w:bCs/>
        </w:rPr>
        <w:t xml:space="preserve"> </w:t>
      </w:r>
      <w:r w:rsidR="001D70DB">
        <w:rPr>
          <w:bCs/>
        </w:rPr>
        <w:t xml:space="preserve"> which are</w:t>
      </w:r>
      <w:r w:rsidR="00265871">
        <w:rPr>
          <w:bCs/>
        </w:rPr>
        <w:t xml:space="preserve"> contain</w:t>
      </w:r>
      <w:r w:rsidR="001D70DB">
        <w:rPr>
          <w:bCs/>
        </w:rPr>
        <w:t>ed</w:t>
      </w:r>
      <w:r w:rsidR="00265871">
        <w:rPr>
          <w:bCs/>
        </w:rPr>
        <w:t xml:space="preserve"> within the regeneration model.</w:t>
      </w:r>
      <w:r w:rsidRPr="000A5229">
        <w:rPr>
          <w:bCs/>
        </w:rPr>
        <w:t xml:space="preserve"> The Directorate has also identified one-off in year savings of </w:t>
      </w:r>
      <w:r w:rsidR="009C512C" w:rsidRPr="009C512C">
        <w:rPr>
          <w:b/>
          <w:bCs/>
        </w:rPr>
        <w:t>(</w:t>
      </w:r>
      <w:r w:rsidRPr="009C512C">
        <w:rPr>
          <w:b/>
          <w:bCs/>
        </w:rPr>
        <w:t>£418k</w:t>
      </w:r>
      <w:r w:rsidR="009C512C">
        <w:rPr>
          <w:b/>
          <w:bCs/>
        </w:rPr>
        <w:t>)</w:t>
      </w:r>
      <w:r w:rsidRPr="000A5229">
        <w:rPr>
          <w:bCs/>
        </w:rPr>
        <w:t xml:space="preserve"> during Quarter 2</w:t>
      </w:r>
      <w:r>
        <w:rPr>
          <w:bCs/>
        </w:rPr>
        <w:t>.</w:t>
      </w:r>
    </w:p>
    <w:p w14:paraId="09056B48" w14:textId="77777777" w:rsidR="0035160F" w:rsidRDefault="00C90A80" w:rsidP="008D06CF">
      <w:pPr>
        <w:pStyle w:val="ListParagraph"/>
        <w:numPr>
          <w:ilvl w:val="1"/>
          <w:numId w:val="32"/>
        </w:numPr>
        <w:spacing w:after="120"/>
        <w:ind w:hanging="689"/>
        <w:jc w:val="both"/>
        <w:rPr>
          <w:bCs/>
        </w:rPr>
      </w:pPr>
      <w:r w:rsidRPr="0035160F">
        <w:rPr>
          <w:bCs/>
        </w:rPr>
        <w:t>A sign</w:t>
      </w:r>
      <w:r w:rsidR="007D1D99" w:rsidRPr="0035160F">
        <w:rPr>
          <w:bCs/>
        </w:rPr>
        <w:t xml:space="preserve">ificant amount of the forecast </w:t>
      </w:r>
      <w:r w:rsidR="000A5229" w:rsidRPr="0035160F">
        <w:rPr>
          <w:bCs/>
        </w:rPr>
        <w:t>pressure</w:t>
      </w:r>
      <w:r w:rsidR="007D1D99" w:rsidRPr="0035160F">
        <w:rPr>
          <w:bCs/>
        </w:rPr>
        <w:t xml:space="preserve"> -</w:t>
      </w:r>
      <w:r w:rsidR="000A5229" w:rsidRPr="0035160F">
        <w:rPr>
          <w:bCs/>
        </w:rPr>
        <w:t xml:space="preserve"> </w:t>
      </w:r>
      <w:r w:rsidRPr="0035160F">
        <w:rPr>
          <w:b/>
          <w:bCs/>
        </w:rPr>
        <w:t>£2.8m</w:t>
      </w:r>
      <w:r w:rsidRPr="0035160F">
        <w:rPr>
          <w:bCs/>
        </w:rPr>
        <w:t xml:space="preserve"> relates to homelessness. The combined impact of a shortage of affordable accommodation in London, rapidly increasing rents in the private rented sector and the Government’s welfare reforms continue to place pressure on household incomes, which has driven extraordinary growth in the number of families becoming homeless across London. Homelessness prevention initiatives are, however, becoming increasingly successful, and as a result the forecast pressure has now started to reduce. Other pressures within Housing include the review of Watkins House to ensure compliance with applicable regulations.</w:t>
      </w:r>
    </w:p>
    <w:p w14:paraId="0B68E8E2" w14:textId="2FF1645A" w:rsidR="00C90A80" w:rsidRPr="0035160F" w:rsidRDefault="00C90A80" w:rsidP="008D06CF">
      <w:pPr>
        <w:pStyle w:val="ListParagraph"/>
        <w:numPr>
          <w:ilvl w:val="1"/>
          <w:numId w:val="32"/>
        </w:numPr>
        <w:spacing w:after="120"/>
        <w:ind w:hanging="689"/>
        <w:jc w:val="both"/>
        <w:rPr>
          <w:bCs/>
        </w:rPr>
      </w:pPr>
      <w:r w:rsidRPr="0035160F">
        <w:rPr>
          <w:bCs/>
          <w:lang w:val="en-US"/>
        </w:rPr>
        <w:t xml:space="preserve">Environment’s overspend relates to an amber rated MTFS saving associated with the changes of garden and food waste collection system.  </w:t>
      </w:r>
      <w:r w:rsidRPr="0035160F">
        <w:rPr>
          <w:bCs/>
        </w:rPr>
        <w:t xml:space="preserve">There is a forecast pressure of </w:t>
      </w:r>
      <w:r w:rsidRPr="0035160F">
        <w:rPr>
          <w:b/>
          <w:bCs/>
        </w:rPr>
        <w:t>£1.3m</w:t>
      </w:r>
      <w:r w:rsidRPr="0035160F">
        <w:rPr>
          <w:bCs/>
        </w:rPr>
        <w:t xml:space="preserve"> on this MTFS saving relating to an income shortfall of £0.5m against the original target for garden waste (which was set prior to the final agreed regime for </w:t>
      </w:r>
      <w:r w:rsidRPr="0035160F">
        <w:rPr>
          <w:bCs/>
        </w:rPr>
        <w:lastRenderedPageBreak/>
        <w:t>garden waste service), additional operational costs of £0.8m due to more crews deployed than anticipated as a result of on-going IT issu</w:t>
      </w:r>
      <w:r w:rsidR="007D1D99" w:rsidRPr="0035160F">
        <w:rPr>
          <w:bCs/>
        </w:rPr>
        <w:t xml:space="preserve">es, and additional </w:t>
      </w:r>
      <w:r w:rsidRPr="0035160F">
        <w:rPr>
          <w:bCs/>
        </w:rPr>
        <w:t>staff</w:t>
      </w:r>
      <w:r w:rsidR="007D1D99" w:rsidRPr="0035160F">
        <w:rPr>
          <w:bCs/>
        </w:rPr>
        <w:t xml:space="preserve"> required in Access Harrow</w:t>
      </w:r>
      <w:r w:rsidRPr="0035160F">
        <w:rPr>
          <w:bCs/>
        </w:rPr>
        <w:t>. Management actions are being undertaken to address this pressure</w:t>
      </w:r>
      <w:r w:rsidR="007D1D99" w:rsidRPr="0035160F">
        <w:rPr>
          <w:bCs/>
        </w:rPr>
        <w:t>, including</w:t>
      </w:r>
      <w:r w:rsidRPr="0035160F">
        <w:rPr>
          <w:bCs/>
        </w:rPr>
        <w:t xml:space="preserve"> route optimisation, the review of administrative support and recycling campaigns.</w:t>
      </w:r>
    </w:p>
    <w:p w14:paraId="2ABAE854" w14:textId="77777777" w:rsidR="0042411C" w:rsidRDefault="0042411C" w:rsidP="00515CBD">
      <w:pPr>
        <w:pStyle w:val="ListParagraph"/>
        <w:numPr>
          <w:ilvl w:val="1"/>
          <w:numId w:val="32"/>
        </w:numPr>
        <w:spacing w:after="120"/>
        <w:ind w:hanging="689"/>
        <w:jc w:val="both"/>
        <w:rPr>
          <w:bCs/>
        </w:rPr>
      </w:pPr>
      <w:r w:rsidRPr="0042411C">
        <w:rPr>
          <w:bCs/>
        </w:rPr>
        <w:t xml:space="preserve">A pressure of </w:t>
      </w:r>
      <w:r w:rsidRPr="0042411C">
        <w:rPr>
          <w:b/>
          <w:bCs/>
        </w:rPr>
        <w:t>£0.66m</w:t>
      </w:r>
      <w:r w:rsidRPr="0042411C">
        <w:rPr>
          <w:bCs/>
        </w:rPr>
        <w:t xml:space="preserve"> for the Arts and Heritage service following a decision in September to explore other options for delivering the service. This consists of the non-achievement of MTFS saving and one-off unfunded transition costs.  An over spend on Libraries &amp; Leisure of </w:t>
      </w:r>
      <w:r w:rsidRPr="0042411C">
        <w:rPr>
          <w:b/>
          <w:bCs/>
        </w:rPr>
        <w:t>£101k</w:t>
      </w:r>
      <w:r w:rsidRPr="0042411C">
        <w:rPr>
          <w:bCs/>
        </w:rPr>
        <w:t xml:space="preserve"> is also reported mainly relating to £73k additional costs of the libraries contract due to indexation not included in base budget</w:t>
      </w:r>
      <w:r>
        <w:rPr>
          <w:bCs/>
        </w:rPr>
        <w:t>.</w:t>
      </w:r>
    </w:p>
    <w:p w14:paraId="209ECF60" w14:textId="590F19CD" w:rsidR="00C90A80" w:rsidRPr="00D90114" w:rsidRDefault="00C90A80" w:rsidP="00515CBD">
      <w:pPr>
        <w:pStyle w:val="ListParagraph"/>
        <w:numPr>
          <w:ilvl w:val="1"/>
          <w:numId w:val="32"/>
        </w:numPr>
        <w:spacing w:after="120"/>
        <w:ind w:hanging="689"/>
        <w:jc w:val="both"/>
        <w:rPr>
          <w:bCs/>
          <w:lang w:val="en-US"/>
        </w:rPr>
      </w:pPr>
      <w:r w:rsidRPr="00C90A80">
        <w:rPr>
          <w:bCs/>
          <w:lang w:val="en-US"/>
        </w:rPr>
        <w:t xml:space="preserve">The over spends have been partially offset by a one-off saving of </w:t>
      </w:r>
      <w:r w:rsidR="002F3BA1">
        <w:rPr>
          <w:bCs/>
          <w:lang w:val="en-US"/>
        </w:rPr>
        <w:t>(</w:t>
      </w:r>
      <w:r w:rsidRPr="00D90114">
        <w:rPr>
          <w:bCs/>
          <w:lang w:val="en-US"/>
        </w:rPr>
        <w:t>£0.77m</w:t>
      </w:r>
      <w:r w:rsidR="002F3BA1" w:rsidRPr="00D90114">
        <w:rPr>
          <w:bCs/>
          <w:lang w:val="en-US"/>
        </w:rPr>
        <w:t>)</w:t>
      </w:r>
      <w:r w:rsidRPr="00C90A80">
        <w:rPr>
          <w:bCs/>
          <w:lang w:val="en-US"/>
        </w:rPr>
        <w:t xml:space="preserve"> ide</w:t>
      </w:r>
      <w:r w:rsidR="00D90114">
        <w:rPr>
          <w:bCs/>
          <w:lang w:val="en-US"/>
        </w:rPr>
        <w:t xml:space="preserve">ntified on </w:t>
      </w:r>
      <w:r w:rsidR="007D1D99">
        <w:rPr>
          <w:bCs/>
          <w:lang w:val="en-US"/>
        </w:rPr>
        <w:t>waste disposal costs</w:t>
      </w:r>
      <w:r w:rsidRPr="00C90A80">
        <w:rPr>
          <w:bCs/>
          <w:lang w:val="en-US"/>
        </w:rPr>
        <w:t xml:space="preserve"> and forecast overachievement of income of </w:t>
      </w:r>
      <w:r w:rsidR="002F3BA1">
        <w:rPr>
          <w:bCs/>
          <w:lang w:val="en-US"/>
        </w:rPr>
        <w:t>(</w:t>
      </w:r>
      <w:r w:rsidRPr="00D90114">
        <w:rPr>
          <w:bCs/>
          <w:lang w:val="en-US"/>
        </w:rPr>
        <w:t>£0.618m</w:t>
      </w:r>
      <w:r w:rsidR="002F3BA1" w:rsidRPr="00D90114">
        <w:rPr>
          <w:bCs/>
          <w:lang w:val="en-US"/>
        </w:rPr>
        <w:t>)</w:t>
      </w:r>
      <w:r w:rsidRPr="00C90A80">
        <w:rPr>
          <w:bCs/>
          <w:lang w:val="en-US"/>
        </w:rPr>
        <w:t>, consisting of one off  income</w:t>
      </w:r>
      <w:r w:rsidR="007D1D99">
        <w:rPr>
          <w:bCs/>
          <w:lang w:val="en-US"/>
        </w:rPr>
        <w:t xml:space="preserve"> of £0.5m</w:t>
      </w:r>
      <w:r w:rsidRPr="00C90A80">
        <w:rPr>
          <w:bCs/>
          <w:lang w:val="en-US"/>
        </w:rPr>
        <w:t xml:space="preserve"> from Parking as a result of a change in accounting policy and </w:t>
      </w:r>
      <w:r w:rsidRPr="00D90114">
        <w:rPr>
          <w:bCs/>
          <w:lang w:val="en-US"/>
        </w:rPr>
        <w:t>£188k</w:t>
      </w:r>
      <w:r w:rsidRPr="00C90A80">
        <w:rPr>
          <w:bCs/>
          <w:lang w:val="en-US"/>
        </w:rPr>
        <w:t xml:space="preserve"> additional income from </w:t>
      </w:r>
      <w:r w:rsidR="007D1D99">
        <w:rPr>
          <w:bCs/>
          <w:lang w:val="en-US"/>
        </w:rPr>
        <w:t xml:space="preserve">the </w:t>
      </w:r>
      <w:r w:rsidRPr="00C90A80">
        <w:rPr>
          <w:bCs/>
          <w:lang w:val="en-US"/>
        </w:rPr>
        <w:t>HRA</w:t>
      </w:r>
      <w:r>
        <w:rPr>
          <w:bCs/>
          <w:lang w:val="en-US"/>
        </w:rPr>
        <w:t>.</w:t>
      </w:r>
    </w:p>
    <w:p w14:paraId="286631B8" w14:textId="1E15DD29" w:rsidR="00C90A80" w:rsidRPr="00244B4B" w:rsidRDefault="00C90A80" w:rsidP="00515CBD">
      <w:pPr>
        <w:pStyle w:val="ListParagraph"/>
        <w:numPr>
          <w:ilvl w:val="1"/>
          <w:numId w:val="32"/>
        </w:numPr>
        <w:spacing w:after="120"/>
        <w:ind w:left="709" w:hanging="709"/>
        <w:jc w:val="both"/>
        <w:rPr>
          <w:bCs/>
        </w:rPr>
      </w:pPr>
      <w:r w:rsidRPr="00C90A80">
        <w:rPr>
          <w:bCs/>
          <w:lang w:val="en-US"/>
        </w:rPr>
        <w:t xml:space="preserve">Of the £4.974m 16/17 MTFS targets, there is one red rated saving at Quarter 2 relating to </w:t>
      </w:r>
      <w:r w:rsidRPr="00C90A80">
        <w:rPr>
          <w:bCs/>
        </w:rPr>
        <w:t>Arts and Heritage service</w:t>
      </w:r>
      <w:r w:rsidRPr="00C90A80">
        <w:rPr>
          <w:bCs/>
          <w:lang w:val="en-US"/>
        </w:rPr>
        <w:t xml:space="preserve"> (£173</w:t>
      </w:r>
      <w:r w:rsidR="007D1D99">
        <w:rPr>
          <w:bCs/>
          <w:lang w:val="en-US"/>
        </w:rPr>
        <w:t>k in 16/17 and £282k in 17/18)</w:t>
      </w:r>
      <w:r w:rsidRPr="00C90A80">
        <w:rPr>
          <w:bCs/>
          <w:lang w:val="en-US"/>
        </w:rPr>
        <w:t>, which was an amber rated saving at Quarter 1.  The decision not to progress with the transfer to Cultura is the reason for the movement from amber to red</w:t>
      </w:r>
      <w:r>
        <w:rPr>
          <w:bCs/>
          <w:lang w:val="en-US"/>
        </w:rPr>
        <w:t>.</w:t>
      </w:r>
    </w:p>
    <w:p w14:paraId="3BF16059" w14:textId="77777777" w:rsidR="00244B4B" w:rsidRPr="008F21C7" w:rsidRDefault="00244B4B" w:rsidP="00244B4B">
      <w:pPr>
        <w:pStyle w:val="ListParagraph"/>
        <w:spacing w:after="120"/>
        <w:ind w:left="709"/>
        <w:jc w:val="both"/>
        <w:rPr>
          <w:bCs/>
        </w:rPr>
      </w:pPr>
    </w:p>
    <w:p w14:paraId="1E406477" w14:textId="77777777" w:rsidR="00C81947" w:rsidRPr="00244B4B" w:rsidRDefault="00C81947" w:rsidP="00D90114">
      <w:pPr>
        <w:suppressAutoHyphens/>
        <w:spacing w:after="120"/>
        <w:ind w:firstLine="689"/>
        <w:rPr>
          <w:rFonts w:cs="Arial"/>
          <w:b/>
          <w:iCs/>
          <w:szCs w:val="24"/>
          <w:u w:val="single"/>
          <w:lang w:eastAsia="ar-SA"/>
        </w:rPr>
      </w:pPr>
      <w:bookmarkStart w:id="2" w:name="_Toc372706220"/>
      <w:r w:rsidRPr="00244B4B">
        <w:rPr>
          <w:rFonts w:cs="Arial"/>
          <w:b/>
          <w:iCs/>
          <w:szCs w:val="24"/>
          <w:u w:val="single"/>
          <w:lang w:eastAsia="ar-SA"/>
        </w:rPr>
        <w:t>H</w:t>
      </w:r>
      <w:r w:rsidR="000A4437" w:rsidRPr="00244B4B">
        <w:rPr>
          <w:rFonts w:cs="Arial"/>
          <w:b/>
          <w:iCs/>
          <w:szCs w:val="24"/>
          <w:u w:val="single"/>
          <w:lang w:eastAsia="ar-SA"/>
        </w:rPr>
        <w:t>ousing Revenue Account</w:t>
      </w:r>
    </w:p>
    <w:p w14:paraId="196D805A" w14:textId="4178A2CF" w:rsidR="00C90A80" w:rsidRDefault="00C90A80" w:rsidP="008D06CF">
      <w:pPr>
        <w:pStyle w:val="ListParagraph"/>
        <w:numPr>
          <w:ilvl w:val="1"/>
          <w:numId w:val="32"/>
        </w:numPr>
        <w:spacing w:after="120"/>
        <w:ind w:hanging="689"/>
        <w:jc w:val="both"/>
        <w:rPr>
          <w:rFonts w:cs="Arial"/>
          <w:szCs w:val="24"/>
        </w:rPr>
      </w:pPr>
      <w:r w:rsidRPr="00C90A80">
        <w:rPr>
          <w:rFonts w:cs="Arial"/>
          <w:szCs w:val="24"/>
        </w:rPr>
        <w:t>Quarter 2 forecasts a pressure of £630k,</w:t>
      </w:r>
      <w:r w:rsidR="007D1D99">
        <w:rPr>
          <w:rFonts w:cs="Arial"/>
          <w:szCs w:val="24"/>
        </w:rPr>
        <w:t xml:space="preserve"> </w:t>
      </w:r>
      <w:r w:rsidR="00FA683C">
        <w:rPr>
          <w:rFonts w:cs="Arial"/>
          <w:szCs w:val="24"/>
        </w:rPr>
        <w:t>a deterioration</w:t>
      </w:r>
      <w:r w:rsidRPr="00C90A80">
        <w:rPr>
          <w:rFonts w:cs="Arial"/>
          <w:szCs w:val="24"/>
        </w:rPr>
        <w:t xml:space="preserve"> </w:t>
      </w:r>
      <w:r w:rsidR="007D1D99" w:rsidRPr="00C90A80">
        <w:rPr>
          <w:rFonts w:cs="Arial"/>
          <w:szCs w:val="24"/>
        </w:rPr>
        <w:t xml:space="preserve">against </w:t>
      </w:r>
      <w:r w:rsidR="007D1D99">
        <w:rPr>
          <w:rFonts w:cs="Arial"/>
          <w:szCs w:val="24"/>
        </w:rPr>
        <w:t>Quarter</w:t>
      </w:r>
      <w:r w:rsidRPr="00C90A80">
        <w:rPr>
          <w:rFonts w:cs="Arial"/>
          <w:szCs w:val="24"/>
        </w:rPr>
        <w:t xml:space="preserve"> 1 of £473k due mainly to unforeseen repairs expenditure required to meet legislative requirements and discharge mandatory health &amp; safety obligations</w:t>
      </w:r>
      <w:r>
        <w:rPr>
          <w:rFonts w:cs="Arial"/>
          <w:szCs w:val="24"/>
        </w:rPr>
        <w:t>.</w:t>
      </w:r>
    </w:p>
    <w:p w14:paraId="7792E63F" w14:textId="77777777" w:rsidR="00C90A80" w:rsidRDefault="00C90A80" w:rsidP="008D06CF">
      <w:pPr>
        <w:pStyle w:val="ListParagraph"/>
        <w:numPr>
          <w:ilvl w:val="1"/>
          <w:numId w:val="32"/>
        </w:numPr>
        <w:spacing w:after="120"/>
        <w:ind w:hanging="689"/>
        <w:jc w:val="both"/>
        <w:rPr>
          <w:rFonts w:cs="Arial"/>
          <w:szCs w:val="24"/>
        </w:rPr>
      </w:pPr>
      <w:r w:rsidRPr="00C90A80">
        <w:rPr>
          <w:rFonts w:cs="Arial"/>
          <w:szCs w:val="24"/>
        </w:rPr>
        <w:t>The pressure also reflects the costs of the compulsory upgrade of IT systems, and unbudgeted Depot bin hire and bulk waste disposal recharges, for which offsetting savings will have to be found</w:t>
      </w:r>
      <w:r>
        <w:rPr>
          <w:rFonts w:cs="Arial"/>
          <w:szCs w:val="24"/>
        </w:rPr>
        <w:t>.</w:t>
      </w:r>
    </w:p>
    <w:p w14:paraId="5F0B7284" w14:textId="5FD2D217" w:rsidR="0035160F" w:rsidRPr="0035160F" w:rsidRDefault="00C90A80" w:rsidP="0035160F">
      <w:pPr>
        <w:pStyle w:val="ListParagraph"/>
        <w:numPr>
          <w:ilvl w:val="1"/>
          <w:numId w:val="32"/>
        </w:numPr>
        <w:spacing w:after="120"/>
        <w:ind w:hanging="689"/>
        <w:jc w:val="both"/>
        <w:rPr>
          <w:rFonts w:cs="Arial"/>
          <w:szCs w:val="24"/>
        </w:rPr>
      </w:pPr>
      <w:r w:rsidRPr="0035160F">
        <w:rPr>
          <w:rFonts w:cs="Arial"/>
          <w:szCs w:val="24"/>
        </w:rPr>
        <w:t xml:space="preserve"> </w:t>
      </w:r>
      <w:r w:rsidR="00FA683C" w:rsidRPr="0035160F">
        <w:rPr>
          <w:rFonts w:cs="Arial"/>
          <w:szCs w:val="24"/>
        </w:rPr>
        <w:t>Welfare reform and the extension of rent reduction to sheltered housing will impact on the HRA in 2017-18, though other initiatives such as Pay to Stay and Forced Sale of high value Council properties, which were anticipated to take effect next year, have either been shelved or postponed. The challenges facing the HRA are addressed in the HRA draft budget report elsewhere on this agenda.</w:t>
      </w:r>
    </w:p>
    <w:p w14:paraId="752815E6" w14:textId="4452DF56" w:rsidR="005661F5" w:rsidRDefault="005661F5" w:rsidP="008D06CF">
      <w:pPr>
        <w:pStyle w:val="ListParagraph"/>
        <w:numPr>
          <w:ilvl w:val="1"/>
          <w:numId w:val="32"/>
        </w:numPr>
        <w:ind w:hanging="689"/>
        <w:jc w:val="both"/>
        <w:rPr>
          <w:rFonts w:cs="Arial"/>
          <w:szCs w:val="24"/>
        </w:rPr>
      </w:pPr>
      <w:r w:rsidRPr="005661F5">
        <w:rPr>
          <w:rFonts w:cs="Arial"/>
          <w:szCs w:val="24"/>
        </w:rPr>
        <w:t>A summary of the HRA position is provided below which includes estimated balances</w:t>
      </w:r>
      <w:r>
        <w:rPr>
          <w:rFonts w:cs="Arial"/>
          <w:szCs w:val="24"/>
        </w:rPr>
        <w:t>.</w:t>
      </w:r>
    </w:p>
    <w:p w14:paraId="6372296D" w14:textId="77777777" w:rsidR="0035160F" w:rsidRDefault="0035160F" w:rsidP="005661F5">
      <w:pPr>
        <w:pStyle w:val="ListParagraph"/>
        <w:ind w:left="405"/>
        <w:jc w:val="both"/>
        <w:rPr>
          <w:rFonts w:cs="Arial"/>
          <w:szCs w:val="24"/>
        </w:rPr>
      </w:pPr>
    </w:p>
    <w:p w14:paraId="247E9208" w14:textId="77777777" w:rsidR="00C85CF6" w:rsidRDefault="00C85CF6" w:rsidP="005661F5">
      <w:pPr>
        <w:pStyle w:val="ListParagraph"/>
        <w:ind w:left="405"/>
        <w:jc w:val="both"/>
        <w:rPr>
          <w:rFonts w:cs="Arial"/>
          <w:szCs w:val="24"/>
        </w:rPr>
      </w:pPr>
    </w:p>
    <w:p w14:paraId="26B4FEB2" w14:textId="77777777" w:rsidR="00C85CF6" w:rsidRDefault="00C85CF6" w:rsidP="005661F5">
      <w:pPr>
        <w:pStyle w:val="ListParagraph"/>
        <w:ind w:left="405"/>
        <w:jc w:val="both"/>
        <w:rPr>
          <w:rFonts w:cs="Arial"/>
          <w:szCs w:val="24"/>
        </w:rPr>
      </w:pPr>
    </w:p>
    <w:p w14:paraId="089BB893" w14:textId="77777777" w:rsidR="00C85CF6" w:rsidRDefault="00C85CF6" w:rsidP="005661F5">
      <w:pPr>
        <w:pStyle w:val="ListParagraph"/>
        <w:ind w:left="405"/>
        <w:jc w:val="both"/>
        <w:rPr>
          <w:rFonts w:cs="Arial"/>
          <w:szCs w:val="24"/>
        </w:rPr>
      </w:pPr>
    </w:p>
    <w:p w14:paraId="5904A4EF" w14:textId="77777777" w:rsidR="00C85CF6" w:rsidRDefault="00C85CF6" w:rsidP="005661F5">
      <w:pPr>
        <w:pStyle w:val="ListParagraph"/>
        <w:ind w:left="405"/>
        <w:jc w:val="both"/>
        <w:rPr>
          <w:rFonts w:cs="Arial"/>
          <w:szCs w:val="24"/>
        </w:rPr>
      </w:pPr>
    </w:p>
    <w:p w14:paraId="2238543F" w14:textId="77777777" w:rsidR="00C85CF6" w:rsidRDefault="00C85CF6" w:rsidP="005661F5">
      <w:pPr>
        <w:pStyle w:val="ListParagraph"/>
        <w:ind w:left="405"/>
        <w:jc w:val="both"/>
        <w:rPr>
          <w:rFonts w:cs="Arial"/>
          <w:szCs w:val="24"/>
        </w:rPr>
      </w:pPr>
    </w:p>
    <w:p w14:paraId="6604AC2F" w14:textId="77777777" w:rsidR="00C85CF6" w:rsidRDefault="00C85CF6" w:rsidP="005661F5">
      <w:pPr>
        <w:pStyle w:val="ListParagraph"/>
        <w:ind w:left="405"/>
        <w:jc w:val="both"/>
        <w:rPr>
          <w:rFonts w:cs="Arial"/>
          <w:szCs w:val="24"/>
        </w:rPr>
      </w:pPr>
    </w:p>
    <w:p w14:paraId="5C4E62DC" w14:textId="77777777" w:rsidR="00C85CF6" w:rsidRDefault="00C85CF6" w:rsidP="005661F5">
      <w:pPr>
        <w:pStyle w:val="ListParagraph"/>
        <w:ind w:left="405"/>
        <w:jc w:val="both"/>
        <w:rPr>
          <w:rFonts w:cs="Arial"/>
          <w:szCs w:val="24"/>
        </w:rPr>
      </w:pPr>
    </w:p>
    <w:p w14:paraId="40A827C2" w14:textId="77777777" w:rsidR="00C85CF6" w:rsidRDefault="00C85CF6" w:rsidP="005661F5">
      <w:pPr>
        <w:pStyle w:val="ListParagraph"/>
        <w:ind w:left="405"/>
        <w:jc w:val="both"/>
        <w:rPr>
          <w:rFonts w:cs="Arial"/>
          <w:szCs w:val="24"/>
        </w:rPr>
      </w:pPr>
    </w:p>
    <w:p w14:paraId="3A4EADCD" w14:textId="562EA731" w:rsidR="005661F5" w:rsidRPr="00A533C8" w:rsidRDefault="007D1D99" w:rsidP="005661F5">
      <w:pPr>
        <w:pStyle w:val="ListParagraph"/>
        <w:ind w:left="405"/>
        <w:jc w:val="both"/>
        <w:rPr>
          <w:rFonts w:cs="Arial"/>
          <w:b/>
          <w:szCs w:val="24"/>
          <w:u w:val="single"/>
        </w:rPr>
      </w:pPr>
      <w:r>
        <w:rPr>
          <w:rFonts w:cs="Arial"/>
          <w:szCs w:val="24"/>
        </w:rPr>
        <w:lastRenderedPageBreak/>
        <w:t xml:space="preserve">  </w:t>
      </w:r>
      <w:r w:rsidRPr="00A533C8">
        <w:rPr>
          <w:rFonts w:cs="Arial"/>
          <w:b/>
          <w:szCs w:val="24"/>
          <w:u w:val="single"/>
        </w:rPr>
        <w:t>Table 4</w:t>
      </w:r>
      <w:r w:rsidR="00A533C8" w:rsidRPr="00A533C8">
        <w:rPr>
          <w:rFonts w:cs="Arial"/>
          <w:b/>
          <w:szCs w:val="24"/>
          <w:u w:val="single"/>
        </w:rPr>
        <w:t>:</w:t>
      </w:r>
      <w:r w:rsidRPr="00A533C8">
        <w:rPr>
          <w:rFonts w:cs="Arial"/>
          <w:b/>
          <w:szCs w:val="24"/>
          <w:u w:val="single"/>
        </w:rPr>
        <w:t xml:space="preserve"> HRA</w:t>
      </w:r>
      <w:r w:rsidR="00A533C8" w:rsidRPr="00A533C8">
        <w:rPr>
          <w:rFonts w:cs="Arial"/>
          <w:b/>
          <w:szCs w:val="24"/>
          <w:u w:val="single"/>
        </w:rPr>
        <w:t xml:space="preserve"> Variance</w:t>
      </w:r>
    </w:p>
    <w:p w14:paraId="56D0F943" w14:textId="77777777" w:rsidR="00A533C8" w:rsidRPr="00A533C8" w:rsidRDefault="00A533C8" w:rsidP="005661F5">
      <w:pPr>
        <w:pStyle w:val="ListParagraph"/>
        <w:ind w:left="405"/>
        <w:jc w:val="both"/>
        <w:rPr>
          <w:rFonts w:cs="Arial"/>
          <w:b/>
          <w:szCs w:val="24"/>
        </w:rPr>
      </w:pPr>
    </w:p>
    <w:tbl>
      <w:tblPr>
        <w:tblW w:w="6861" w:type="dxa"/>
        <w:tblInd w:w="725" w:type="dxa"/>
        <w:tblLook w:val="04A0" w:firstRow="1" w:lastRow="0" w:firstColumn="1" w:lastColumn="0" w:noHBand="0" w:noVBand="1"/>
      </w:tblPr>
      <w:tblGrid>
        <w:gridCol w:w="1244"/>
        <w:gridCol w:w="1096"/>
        <w:gridCol w:w="1137"/>
        <w:gridCol w:w="950"/>
        <w:gridCol w:w="1217"/>
        <w:gridCol w:w="1217"/>
      </w:tblGrid>
      <w:tr w:rsidR="008F21C7" w:rsidRPr="008F21C7" w14:paraId="376707EE" w14:textId="77777777" w:rsidTr="008F21C7">
        <w:trPr>
          <w:trHeight w:val="960"/>
        </w:trPr>
        <w:tc>
          <w:tcPr>
            <w:tcW w:w="1244" w:type="dxa"/>
            <w:tcBorders>
              <w:top w:val="single" w:sz="8" w:space="0" w:color="auto"/>
              <w:left w:val="single" w:sz="8" w:space="0" w:color="auto"/>
              <w:bottom w:val="nil"/>
              <w:right w:val="single" w:sz="8" w:space="0" w:color="auto"/>
            </w:tcBorders>
            <w:shd w:val="clear" w:color="auto" w:fill="auto"/>
            <w:vAlign w:val="center"/>
            <w:hideMark/>
          </w:tcPr>
          <w:p w14:paraId="605F7E59"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HRA revenue balances</w:t>
            </w:r>
          </w:p>
        </w:tc>
        <w:tc>
          <w:tcPr>
            <w:tcW w:w="1096" w:type="dxa"/>
            <w:tcBorders>
              <w:top w:val="single" w:sz="8" w:space="0" w:color="auto"/>
              <w:left w:val="nil"/>
              <w:bottom w:val="nil"/>
              <w:right w:val="single" w:sz="8" w:space="0" w:color="auto"/>
            </w:tcBorders>
            <w:shd w:val="clear" w:color="auto" w:fill="auto"/>
            <w:vAlign w:val="center"/>
            <w:hideMark/>
          </w:tcPr>
          <w:p w14:paraId="4A7F0FA5"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Outturn 2015-16</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07881BB0"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Revised Budget</w:t>
            </w:r>
          </w:p>
        </w:tc>
        <w:tc>
          <w:tcPr>
            <w:tcW w:w="950" w:type="dxa"/>
            <w:tcBorders>
              <w:top w:val="single" w:sz="8" w:space="0" w:color="auto"/>
              <w:left w:val="nil"/>
              <w:bottom w:val="nil"/>
              <w:right w:val="single" w:sz="8" w:space="0" w:color="auto"/>
            </w:tcBorders>
            <w:shd w:val="clear" w:color="auto" w:fill="auto"/>
            <w:vAlign w:val="center"/>
            <w:hideMark/>
          </w:tcPr>
          <w:p w14:paraId="0B9AF440"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YTD Actual</w:t>
            </w:r>
          </w:p>
        </w:tc>
        <w:tc>
          <w:tcPr>
            <w:tcW w:w="1217" w:type="dxa"/>
            <w:tcBorders>
              <w:top w:val="single" w:sz="8" w:space="0" w:color="auto"/>
              <w:left w:val="nil"/>
              <w:bottom w:val="nil"/>
              <w:right w:val="single" w:sz="8" w:space="0" w:color="auto"/>
            </w:tcBorders>
            <w:shd w:val="clear" w:color="auto" w:fill="auto"/>
            <w:vAlign w:val="center"/>
            <w:hideMark/>
          </w:tcPr>
          <w:p w14:paraId="5298EF66"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Forecast outturn</w:t>
            </w:r>
          </w:p>
        </w:tc>
        <w:tc>
          <w:tcPr>
            <w:tcW w:w="1217" w:type="dxa"/>
            <w:tcBorders>
              <w:top w:val="single" w:sz="8" w:space="0" w:color="auto"/>
              <w:left w:val="nil"/>
              <w:bottom w:val="nil"/>
              <w:right w:val="single" w:sz="8" w:space="0" w:color="auto"/>
            </w:tcBorders>
            <w:shd w:val="clear" w:color="auto" w:fill="auto"/>
            <w:vAlign w:val="center"/>
            <w:hideMark/>
          </w:tcPr>
          <w:p w14:paraId="50250614"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Variance</w:t>
            </w:r>
          </w:p>
        </w:tc>
      </w:tr>
      <w:tr w:rsidR="008F21C7" w:rsidRPr="008F21C7" w14:paraId="4E0DD5FA" w14:textId="77777777" w:rsidTr="008F21C7">
        <w:trPr>
          <w:trHeight w:val="330"/>
        </w:trPr>
        <w:tc>
          <w:tcPr>
            <w:tcW w:w="1244" w:type="dxa"/>
            <w:tcBorders>
              <w:top w:val="single" w:sz="8" w:space="0" w:color="auto"/>
              <w:left w:val="single" w:sz="8" w:space="0" w:color="auto"/>
              <w:bottom w:val="nil"/>
              <w:right w:val="single" w:sz="8" w:space="0" w:color="auto"/>
            </w:tcBorders>
            <w:shd w:val="clear" w:color="auto" w:fill="auto"/>
            <w:vAlign w:val="center"/>
            <w:hideMark/>
          </w:tcPr>
          <w:p w14:paraId="06A80710" w14:textId="77777777" w:rsidR="008F21C7" w:rsidRPr="008F21C7" w:rsidRDefault="008F21C7" w:rsidP="008F21C7">
            <w:pPr>
              <w:jc w:val="both"/>
              <w:rPr>
                <w:rFonts w:cs="Arial"/>
                <w:b/>
                <w:bCs/>
                <w:color w:val="000000"/>
                <w:szCs w:val="24"/>
                <w:lang w:eastAsia="en-GB"/>
              </w:rPr>
            </w:pPr>
            <w:r w:rsidRPr="008F21C7">
              <w:rPr>
                <w:rFonts w:cs="Arial"/>
                <w:b/>
                <w:bCs/>
                <w:color w:val="000000"/>
                <w:szCs w:val="24"/>
                <w:lang w:eastAsia="en-GB"/>
              </w:rPr>
              <w:t> </w:t>
            </w:r>
          </w:p>
        </w:tc>
        <w:tc>
          <w:tcPr>
            <w:tcW w:w="1096" w:type="dxa"/>
            <w:tcBorders>
              <w:top w:val="single" w:sz="8" w:space="0" w:color="auto"/>
              <w:left w:val="nil"/>
              <w:bottom w:val="nil"/>
              <w:right w:val="single" w:sz="8" w:space="0" w:color="auto"/>
            </w:tcBorders>
            <w:shd w:val="clear" w:color="auto" w:fill="auto"/>
            <w:vAlign w:val="center"/>
            <w:hideMark/>
          </w:tcPr>
          <w:p w14:paraId="77239CDE" w14:textId="247A9B18" w:rsidR="008F21C7" w:rsidRPr="008F21C7" w:rsidRDefault="00D77E63" w:rsidP="008F21C7">
            <w:pPr>
              <w:jc w:val="both"/>
              <w:rPr>
                <w:rFonts w:cs="Arial"/>
                <w:b/>
                <w:bCs/>
                <w:color w:val="000000"/>
                <w:szCs w:val="24"/>
                <w:lang w:eastAsia="en-GB"/>
              </w:rPr>
            </w:pPr>
            <w:r>
              <w:rPr>
                <w:rFonts w:cs="Arial"/>
                <w:b/>
                <w:bCs/>
                <w:color w:val="000000"/>
                <w:szCs w:val="24"/>
                <w:lang w:eastAsia="en-GB"/>
              </w:rPr>
              <w:t>£</w:t>
            </w:r>
            <w:r w:rsidR="008F21C7" w:rsidRPr="008F21C7">
              <w:rPr>
                <w:rFonts w:cs="Arial"/>
                <w:b/>
                <w:bCs/>
                <w:color w:val="000000"/>
                <w:szCs w:val="24"/>
                <w:lang w:eastAsia="en-GB"/>
              </w:rPr>
              <w:t>000</w:t>
            </w:r>
          </w:p>
        </w:tc>
        <w:tc>
          <w:tcPr>
            <w:tcW w:w="1137" w:type="dxa"/>
            <w:tcBorders>
              <w:top w:val="nil"/>
              <w:left w:val="nil"/>
              <w:bottom w:val="nil"/>
              <w:right w:val="single" w:sz="8" w:space="0" w:color="auto"/>
            </w:tcBorders>
            <w:shd w:val="clear" w:color="auto" w:fill="auto"/>
            <w:vAlign w:val="center"/>
            <w:hideMark/>
          </w:tcPr>
          <w:p w14:paraId="2C45E95C" w14:textId="0E9CB6FF" w:rsidR="008F21C7" w:rsidRPr="008F21C7" w:rsidRDefault="00D77E63" w:rsidP="008F21C7">
            <w:pPr>
              <w:jc w:val="both"/>
              <w:rPr>
                <w:rFonts w:cs="Arial"/>
                <w:b/>
                <w:bCs/>
                <w:color w:val="000000"/>
                <w:szCs w:val="24"/>
                <w:lang w:eastAsia="en-GB"/>
              </w:rPr>
            </w:pPr>
            <w:r>
              <w:rPr>
                <w:rFonts w:cs="Arial"/>
                <w:b/>
                <w:bCs/>
                <w:color w:val="000000"/>
                <w:szCs w:val="24"/>
                <w:lang w:eastAsia="en-GB"/>
              </w:rPr>
              <w:t>£</w:t>
            </w:r>
            <w:r w:rsidR="008F21C7" w:rsidRPr="008F21C7">
              <w:rPr>
                <w:rFonts w:cs="Arial"/>
                <w:b/>
                <w:bCs/>
                <w:color w:val="000000"/>
                <w:szCs w:val="24"/>
                <w:lang w:eastAsia="en-GB"/>
              </w:rPr>
              <w:t>000</w:t>
            </w:r>
          </w:p>
        </w:tc>
        <w:tc>
          <w:tcPr>
            <w:tcW w:w="950" w:type="dxa"/>
            <w:tcBorders>
              <w:top w:val="single" w:sz="8" w:space="0" w:color="auto"/>
              <w:left w:val="nil"/>
              <w:bottom w:val="nil"/>
              <w:right w:val="single" w:sz="8" w:space="0" w:color="auto"/>
            </w:tcBorders>
            <w:shd w:val="clear" w:color="auto" w:fill="auto"/>
            <w:vAlign w:val="center"/>
            <w:hideMark/>
          </w:tcPr>
          <w:p w14:paraId="111639E1" w14:textId="2D250EDC" w:rsidR="008F21C7" w:rsidRPr="008F21C7" w:rsidRDefault="00D77E63" w:rsidP="008F21C7">
            <w:pPr>
              <w:jc w:val="both"/>
              <w:rPr>
                <w:rFonts w:cs="Arial"/>
                <w:b/>
                <w:bCs/>
                <w:color w:val="000000"/>
                <w:szCs w:val="24"/>
                <w:lang w:eastAsia="en-GB"/>
              </w:rPr>
            </w:pPr>
            <w:r>
              <w:rPr>
                <w:rFonts w:cs="Arial"/>
                <w:b/>
                <w:bCs/>
                <w:color w:val="000000"/>
                <w:szCs w:val="24"/>
                <w:lang w:eastAsia="en-GB"/>
              </w:rPr>
              <w:t>£</w:t>
            </w:r>
            <w:r w:rsidR="008F21C7" w:rsidRPr="008F21C7">
              <w:rPr>
                <w:rFonts w:cs="Arial"/>
                <w:b/>
                <w:bCs/>
                <w:color w:val="000000"/>
                <w:szCs w:val="24"/>
                <w:lang w:eastAsia="en-GB"/>
              </w:rPr>
              <w:t>000</w:t>
            </w:r>
          </w:p>
        </w:tc>
        <w:tc>
          <w:tcPr>
            <w:tcW w:w="1217" w:type="dxa"/>
            <w:tcBorders>
              <w:top w:val="single" w:sz="8" w:space="0" w:color="auto"/>
              <w:left w:val="nil"/>
              <w:bottom w:val="nil"/>
              <w:right w:val="single" w:sz="8" w:space="0" w:color="auto"/>
            </w:tcBorders>
            <w:shd w:val="clear" w:color="auto" w:fill="auto"/>
            <w:vAlign w:val="center"/>
            <w:hideMark/>
          </w:tcPr>
          <w:p w14:paraId="1CB71CD8" w14:textId="01B7C692" w:rsidR="008F21C7" w:rsidRPr="008F21C7" w:rsidRDefault="00D77E63" w:rsidP="008F21C7">
            <w:pPr>
              <w:jc w:val="both"/>
              <w:rPr>
                <w:rFonts w:cs="Arial"/>
                <w:b/>
                <w:bCs/>
                <w:color w:val="000000"/>
                <w:szCs w:val="24"/>
                <w:lang w:eastAsia="en-GB"/>
              </w:rPr>
            </w:pPr>
            <w:r>
              <w:rPr>
                <w:rFonts w:cs="Arial"/>
                <w:b/>
                <w:bCs/>
                <w:color w:val="000000"/>
                <w:szCs w:val="24"/>
                <w:lang w:eastAsia="en-GB"/>
              </w:rPr>
              <w:t>£</w:t>
            </w:r>
            <w:r w:rsidR="008F21C7" w:rsidRPr="008F21C7">
              <w:rPr>
                <w:rFonts w:cs="Arial"/>
                <w:b/>
                <w:bCs/>
                <w:color w:val="000000"/>
                <w:szCs w:val="24"/>
                <w:lang w:eastAsia="en-GB"/>
              </w:rPr>
              <w:t>000</w:t>
            </w:r>
          </w:p>
        </w:tc>
        <w:tc>
          <w:tcPr>
            <w:tcW w:w="1217" w:type="dxa"/>
            <w:tcBorders>
              <w:top w:val="single" w:sz="8" w:space="0" w:color="auto"/>
              <w:left w:val="nil"/>
              <w:bottom w:val="nil"/>
              <w:right w:val="single" w:sz="8" w:space="0" w:color="auto"/>
            </w:tcBorders>
            <w:shd w:val="clear" w:color="auto" w:fill="auto"/>
            <w:vAlign w:val="center"/>
            <w:hideMark/>
          </w:tcPr>
          <w:p w14:paraId="37DA5579" w14:textId="02498ECF" w:rsidR="008F21C7" w:rsidRPr="008F21C7" w:rsidRDefault="00D77E63" w:rsidP="008F21C7">
            <w:pPr>
              <w:jc w:val="both"/>
              <w:rPr>
                <w:rFonts w:cs="Arial"/>
                <w:b/>
                <w:bCs/>
                <w:color w:val="000000"/>
                <w:szCs w:val="24"/>
                <w:lang w:eastAsia="en-GB"/>
              </w:rPr>
            </w:pPr>
            <w:r>
              <w:rPr>
                <w:rFonts w:cs="Arial"/>
                <w:b/>
                <w:bCs/>
                <w:color w:val="000000"/>
                <w:szCs w:val="24"/>
                <w:lang w:eastAsia="en-GB"/>
              </w:rPr>
              <w:t>£</w:t>
            </w:r>
            <w:r w:rsidR="008F21C7" w:rsidRPr="008F21C7">
              <w:rPr>
                <w:rFonts w:cs="Arial"/>
                <w:b/>
                <w:bCs/>
                <w:color w:val="000000"/>
                <w:szCs w:val="24"/>
                <w:lang w:eastAsia="en-GB"/>
              </w:rPr>
              <w:t>000</w:t>
            </w:r>
          </w:p>
        </w:tc>
      </w:tr>
      <w:tr w:rsidR="008F21C7" w:rsidRPr="008F21C7" w14:paraId="6BA3C623" w14:textId="77777777" w:rsidTr="008F21C7">
        <w:trPr>
          <w:trHeight w:val="615"/>
        </w:trPr>
        <w:tc>
          <w:tcPr>
            <w:tcW w:w="1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D6BB8E"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Balance b/fwd</w:t>
            </w:r>
          </w:p>
        </w:tc>
        <w:tc>
          <w:tcPr>
            <w:tcW w:w="1096" w:type="dxa"/>
            <w:tcBorders>
              <w:top w:val="single" w:sz="8" w:space="0" w:color="auto"/>
              <w:left w:val="nil"/>
              <w:bottom w:val="single" w:sz="8" w:space="0" w:color="auto"/>
              <w:right w:val="single" w:sz="8" w:space="0" w:color="auto"/>
            </w:tcBorders>
            <w:shd w:val="clear" w:color="000000" w:fill="FFFFFF"/>
            <w:vAlign w:val="center"/>
            <w:hideMark/>
          </w:tcPr>
          <w:p w14:paraId="5FE5E0FE" w14:textId="12432039"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4,584</w:t>
            </w:r>
            <w:r>
              <w:rPr>
                <w:rFonts w:cs="Arial"/>
                <w:color w:val="000000"/>
                <w:szCs w:val="24"/>
                <w:lang w:eastAsia="en-GB"/>
              </w:rPr>
              <w:t>)</w:t>
            </w:r>
          </w:p>
        </w:tc>
        <w:tc>
          <w:tcPr>
            <w:tcW w:w="1137" w:type="dxa"/>
            <w:tcBorders>
              <w:top w:val="nil"/>
              <w:left w:val="nil"/>
              <w:bottom w:val="single" w:sz="8" w:space="0" w:color="auto"/>
              <w:right w:val="single" w:sz="8" w:space="0" w:color="auto"/>
            </w:tcBorders>
            <w:shd w:val="clear" w:color="000000" w:fill="FFFFFF"/>
            <w:vAlign w:val="center"/>
            <w:hideMark/>
          </w:tcPr>
          <w:p w14:paraId="10F56923" w14:textId="48B89803"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5,296</w:t>
            </w:r>
            <w:r>
              <w:rPr>
                <w:rFonts w:cs="Arial"/>
                <w:color w:val="000000"/>
                <w:szCs w:val="24"/>
                <w:lang w:eastAsia="en-GB"/>
              </w:rPr>
              <w:t>)</w:t>
            </w:r>
          </w:p>
        </w:tc>
        <w:tc>
          <w:tcPr>
            <w:tcW w:w="950" w:type="dxa"/>
            <w:tcBorders>
              <w:top w:val="single" w:sz="8" w:space="0" w:color="auto"/>
              <w:left w:val="nil"/>
              <w:bottom w:val="single" w:sz="8" w:space="0" w:color="auto"/>
              <w:right w:val="single" w:sz="8" w:space="0" w:color="auto"/>
            </w:tcBorders>
            <w:shd w:val="clear" w:color="000000" w:fill="FFFFFF"/>
            <w:vAlign w:val="center"/>
            <w:hideMark/>
          </w:tcPr>
          <w:p w14:paraId="31CF16AB"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 </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70A56560" w14:textId="29FCFEDD"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6,736</w:t>
            </w:r>
            <w:r>
              <w:rPr>
                <w:rFonts w:cs="Arial"/>
                <w:color w:val="000000"/>
                <w:szCs w:val="24"/>
                <w:lang w:eastAsia="en-GB"/>
              </w:rPr>
              <w:t>)</w:t>
            </w:r>
          </w:p>
        </w:tc>
        <w:tc>
          <w:tcPr>
            <w:tcW w:w="1217" w:type="dxa"/>
            <w:tcBorders>
              <w:top w:val="single" w:sz="8" w:space="0" w:color="auto"/>
              <w:left w:val="nil"/>
              <w:bottom w:val="single" w:sz="8" w:space="0" w:color="auto"/>
              <w:right w:val="single" w:sz="8" w:space="0" w:color="auto"/>
            </w:tcBorders>
            <w:shd w:val="clear" w:color="000000" w:fill="FFFFFF"/>
            <w:vAlign w:val="center"/>
            <w:hideMark/>
          </w:tcPr>
          <w:p w14:paraId="142F0A1D" w14:textId="02867092"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1,440</w:t>
            </w:r>
            <w:r>
              <w:rPr>
                <w:rFonts w:cs="Arial"/>
                <w:color w:val="000000"/>
                <w:szCs w:val="24"/>
                <w:lang w:eastAsia="en-GB"/>
              </w:rPr>
              <w:t>)</w:t>
            </w:r>
          </w:p>
        </w:tc>
      </w:tr>
      <w:tr w:rsidR="008F21C7" w:rsidRPr="008F21C7" w14:paraId="1747E1E5" w14:textId="77777777" w:rsidTr="008F21C7">
        <w:trPr>
          <w:trHeight w:val="915"/>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04F5111F"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Net (surplus) deficit</w:t>
            </w:r>
          </w:p>
        </w:tc>
        <w:tc>
          <w:tcPr>
            <w:tcW w:w="1096" w:type="dxa"/>
            <w:tcBorders>
              <w:top w:val="nil"/>
              <w:left w:val="nil"/>
              <w:bottom w:val="single" w:sz="8" w:space="0" w:color="auto"/>
              <w:right w:val="single" w:sz="8" w:space="0" w:color="auto"/>
            </w:tcBorders>
            <w:shd w:val="clear" w:color="000000" w:fill="FFFFFF"/>
            <w:vAlign w:val="center"/>
            <w:hideMark/>
          </w:tcPr>
          <w:p w14:paraId="489E9506" w14:textId="73E58D4A"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2,152</w:t>
            </w:r>
            <w:r>
              <w:rPr>
                <w:rFonts w:cs="Arial"/>
                <w:color w:val="000000"/>
                <w:szCs w:val="24"/>
                <w:lang w:eastAsia="en-GB"/>
              </w:rPr>
              <w:t>)</w:t>
            </w:r>
          </w:p>
        </w:tc>
        <w:tc>
          <w:tcPr>
            <w:tcW w:w="1137" w:type="dxa"/>
            <w:tcBorders>
              <w:top w:val="nil"/>
              <w:left w:val="nil"/>
              <w:bottom w:val="single" w:sz="8" w:space="0" w:color="auto"/>
              <w:right w:val="single" w:sz="8" w:space="0" w:color="auto"/>
            </w:tcBorders>
            <w:shd w:val="clear" w:color="auto" w:fill="auto"/>
            <w:vAlign w:val="center"/>
            <w:hideMark/>
          </w:tcPr>
          <w:p w14:paraId="06C7DAF4" w14:textId="64D093B9"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144</w:t>
            </w:r>
            <w:r>
              <w:rPr>
                <w:rFonts w:cs="Arial"/>
                <w:color w:val="000000"/>
                <w:szCs w:val="24"/>
                <w:lang w:eastAsia="en-GB"/>
              </w:rPr>
              <w:t>)</w:t>
            </w:r>
          </w:p>
        </w:tc>
        <w:tc>
          <w:tcPr>
            <w:tcW w:w="950" w:type="dxa"/>
            <w:tcBorders>
              <w:top w:val="nil"/>
              <w:left w:val="nil"/>
              <w:bottom w:val="single" w:sz="8" w:space="0" w:color="auto"/>
              <w:right w:val="single" w:sz="8" w:space="0" w:color="auto"/>
            </w:tcBorders>
            <w:shd w:val="clear" w:color="000000" w:fill="FFFFFF"/>
            <w:vAlign w:val="center"/>
            <w:hideMark/>
          </w:tcPr>
          <w:p w14:paraId="3C2778F7"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546</w:t>
            </w:r>
          </w:p>
        </w:tc>
        <w:tc>
          <w:tcPr>
            <w:tcW w:w="1217" w:type="dxa"/>
            <w:tcBorders>
              <w:top w:val="nil"/>
              <w:left w:val="nil"/>
              <w:bottom w:val="single" w:sz="8" w:space="0" w:color="auto"/>
              <w:right w:val="single" w:sz="8" w:space="0" w:color="auto"/>
            </w:tcBorders>
            <w:shd w:val="clear" w:color="000000" w:fill="FFFFFF"/>
            <w:vAlign w:val="center"/>
            <w:hideMark/>
          </w:tcPr>
          <w:p w14:paraId="515869A8"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486</w:t>
            </w:r>
          </w:p>
        </w:tc>
        <w:tc>
          <w:tcPr>
            <w:tcW w:w="1217" w:type="dxa"/>
            <w:tcBorders>
              <w:top w:val="nil"/>
              <w:left w:val="nil"/>
              <w:bottom w:val="single" w:sz="8" w:space="0" w:color="auto"/>
              <w:right w:val="single" w:sz="8" w:space="0" w:color="auto"/>
            </w:tcBorders>
            <w:shd w:val="clear" w:color="000000" w:fill="FFFFFF"/>
            <w:vAlign w:val="center"/>
            <w:hideMark/>
          </w:tcPr>
          <w:p w14:paraId="47DA2846"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630</w:t>
            </w:r>
          </w:p>
        </w:tc>
      </w:tr>
      <w:tr w:rsidR="008F21C7" w:rsidRPr="008F21C7" w14:paraId="63634D3E" w14:textId="77777777" w:rsidTr="008F21C7">
        <w:trPr>
          <w:trHeight w:val="615"/>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3BB1C736"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Balance c/fwd</w:t>
            </w:r>
          </w:p>
        </w:tc>
        <w:tc>
          <w:tcPr>
            <w:tcW w:w="1096" w:type="dxa"/>
            <w:tcBorders>
              <w:top w:val="nil"/>
              <w:left w:val="nil"/>
              <w:bottom w:val="single" w:sz="8" w:space="0" w:color="auto"/>
              <w:right w:val="single" w:sz="8" w:space="0" w:color="auto"/>
            </w:tcBorders>
            <w:shd w:val="clear" w:color="000000" w:fill="FFFFFF"/>
            <w:vAlign w:val="center"/>
            <w:hideMark/>
          </w:tcPr>
          <w:p w14:paraId="2E344539" w14:textId="132CED25"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6,736</w:t>
            </w:r>
            <w:r>
              <w:rPr>
                <w:rFonts w:cs="Arial"/>
                <w:color w:val="000000"/>
                <w:szCs w:val="24"/>
                <w:lang w:eastAsia="en-GB"/>
              </w:rPr>
              <w:t>)</w:t>
            </w:r>
          </w:p>
        </w:tc>
        <w:tc>
          <w:tcPr>
            <w:tcW w:w="1137" w:type="dxa"/>
            <w:tcBorders>
              <w:top w:val="nil"/>
              <w:left w:val="nil"/>
              <w:bottom w:val="single" w:sz="8" w:space="0" w:color="auto"/>
              <w:right w:val="nil"/>
            </w:tcBorders>
            <w:shd w:val="clear" w:color="000000" w:fill="FFFFFF"/>
            <w:vAlign w:val="center"/>
            <w:hideMark/>
          </w:tcPr>
          <w:p w14:paraId="2650770C" w14:textId="539DEA92"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5,440</w:t>
            </w:r>
            <w:r>
              <w:rPr>
                <w:rFonts w:cs="Arial"/>
                <w:color w:val="000000"/>
                <w:szCs w:val="24"/>
                <w:lang w:eastAsia="en-GB"/>
              </w:rPr>
              <w:t>)</w:t>
            </w:r>
          </w:p>
        </w:tc>
        <w:tc>
          <w:tcPr>
            <w:tcW w:w="950" w:type="dxa"/>
            <w:tcBorders>
              <w:top w:val="nil"/>
              <w:left w:val="single" w:sz="8" w:space="0" w:color="auto"/>
              <w:bottom w:val="single" w:sz="8" w:space="0" w:color="auto"/>
              <w:right w:val="single" w:sz="8" w:space="0" w:color="auto"/>
            </w:tcBorders>
            <w:shd w:val="clear" w:color="auto" w:fill="auto"/>
            <w:vAlign w:val="center"/>
            <w:hideMark/>
          </w:tcPr>
          <w:p w14:paraId="77F3CAF1" w14:textId="77777777" w:rsidR="008F21C7" w:rsidRPr="008F21C7" w:rsidRDefault="008F21C7" w:rsidP="008F21C7">
            <w:pPr>
              <w:jc w:val="both"/>
              <w:rPr>
                <w:rFonts w:cs="Arial"/>
                <w:color w:val="000000"/>
                <w:szCs w:val="24"/>
                <w:lang w:eastAsia="en-GB"/>
              </w:rPr>
            </w:pPr>
            <w:r w:rsidRPr="008F21C7">
              <w:rPr>
                <w:rFonts w:cs="Arial"/>
                <w:color w:val="000000"/>
                <w:szCs w:val="24"/>
                <w:lang w:eastAsia="en-GB"/>
              </w:rPr>
              <w:t> </w:t>
            </w:r>
          </w:p>
        </w:tc>
        <w:tc>
          <w:tcPr>
            <w:tcW w:w="1217" w:type="dxa"/>
            <w:tcBorders>
              <w:top w:val="nil"/>
              <w:left w:val="nil"/>
              <w:bottom w:val="single" w:sz="8" w:space="0" w:color="auto"/>
              <w:right w:val="single" w:sz="8" w:space="0" w:color="auto"/>
            </w:tcBorders>
            <w:shd w:val="clear" w:color="000000" w:fill="FFFFFF"/>
            <w:vAlign w:val="center"/>
            <w:hideMark/>
          </w:tcPr>
          <w:p w14:paraId="5EBD799C" w14:textId="28F0B55A"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6,250</w:t>
            </w:r>
            <w:r>
              <w:rPr>
                <w:rFonts w:cs="Arial"/>
                <w:color w:val="000000"/>
                <w:szCs w:val="24"/>
                <w:lang w:eastAsia="en-GB"/>
              </w:rPr>
              <w:t>)</w:t>
            </w:r>
          </w:p>
        </w:tc>
        <w:tc>
          <w:tcPr>
            <w:tcW w:w="1217" w:type="dxa"/>
            <w:tcBorders>
              <w:top w:val="nil"/>
              <w:left w:val="nil"/>
              <w:bottom w:val="single" w:sz="8" w:space="0" w:color="auto"/>
              <w:right w:val="single" w:sz="8" w:space="0" w:color="auto"/>
            </w:tcBorders>
            <w:shd w:val="clear" w:color="000000" w:fill="FFFFFF"/>
            <w:vAlign w:val="center"/>
            <w:hideMark/>
          </w:tcPr>
          <w:p w14:paraId="25EF2B77" w14:textId="5E0E6B56" w:rsidR="008F21C7" w:rsidRPr="008F21C7" w:rsidRDefault="001D70DB" w:rsidP="008F21C7">
            <w:pPr>
              <w:jc w:val="both"/>
              <w:rPr>
                <w:rFonts w:cs="Arial"/>
                <w:color w:val="000000"/>
                <w:szCs w:val="24"/>
                <w:lang w:eastAsia="en-GB"/>
              </w:rPr>
            </w:pPr>
            <w:r>
              <w:rPr>
                <w:rFonts w:cs="Arial"/>
                <w:color w:val="000000"/>
                <w:szCs w:val="24"/>
                <w:lang w:eastAsia="en-GB"/>
              </w:rPr>
              <w:t>(</w:t>
            </w:r>
            <w:r w:rsidR="008F21C7" w:rsidRPr="008F21C7">
              <w:rPr>
                <w:rFonts w:cs="Arial"/>
                <w:color w:val="000000"/>
                <w:szCs w:val="24"/>
                <w:lang w:eastAsia="en-GB"/>
              </w:rPr>
              <w:t>810</w:t>
            </w:r>
            <w:r>
              <w:rPr>
                <w:rFonts w:cs="Arial"/>
                <w:color w:val="000000"/>
                <w:szCs w:val="24"/>
                <w:lang w:eastAsia="en-GB"/>
              </w:rPr>
              <w:t>)</w:t>
            </w:r>
          </w:p>
        </w:tc>
      </w:tr>
    </w:tbl>
    <w:p w14:paraId="776E56DA" w14:textId="77777777" w:rsidR="005661F5" w:rsidRDefault="005661F5" w:rsidP="008F21C7">
      <w:pPr>
        <w:pStyle w:val="ListParagraph"/>
        <w:ind w:left="689"/>
        <w:jc w:val="both"/>
        <w:rPr>
          <w:rFonts w:cs="Arial"/>
          <w:szCs w:val="24"/>
        </w:rPr>
      </w:pPr>
    </w:p>
    <w:p w14:paraId="70938182" w14:textId="77777777" w:rsidR="002B11DD" w:rsidRDefault="002B11DD" w:rsidP="003D460D">
      <w:pPr>
        <w:keepNext/>
        <w:spacing w:after="120"/>
        <w:ind w:left="16"/>
        <w:outlineLvl w:val="0"/>
        <w:rPr>
          <w:rFonts w:cs="Arial"/>
          <w:b/>
          <w:bCs/>
          <w:kern w:val="32"/>
          <w:szCs w:val="24"/>
          <w:u w:val="single"/>
        </w:rPr>
      </w:pPr>
    </w:p>
    <w:p w14:paraId="2EA22DF3" w14:textId="131EBE4A" w:rsidR="00741AEB" w:rsidRPr="007475D5" w:rsidRDefault="00AF6F1B" w:rsidP="003D460D">
      <w:pPr>
        <w:keepNext/>
        <w:spacing w:after="120"/>
        <w:ind w:left="16"/>
        <w:outlineLvl w:val="0"/>
        <w:rPr>
          <w:rFonts w:cs="Arial"/>
          <w:b/>
          <w:bCs/>
          <w:kern w:val="32"/>
          <w:szCs w:val="24"/>
          <w:u w:val="single"/>
        </w:rPr>
      </w:pPr>
      <w:r w:rsidRPr="007475D5">
        <w:rPr>
          <w:rFonts w:cs="Arial"/>
          <w:b/>
          <w:bCs/>
          <w:kern w:val="32"/>
          <w:szCs w:val="24"/>
          <w:u w:val="single"/>
        </w:rPr>
        <w:t>P</w:t>
      </w:r>
      <w:r w:rsidR="00152955" w:rsidRPr="007475D5">
        <w:rPr>
          <w:rFonts w:cs="Arial"/>
          <w:b/>
          <w:bCs/>
          <w:kern w:val="32"/>
          <w:szCs w:val="24"/>
          <w:u w:val="single"/>
        </w:rPr>
        <w:t>eople</w:t>
      </w:r>
      <w:r w:rsidR="007D1D99">
        <w:rPr>
          <w:rFonts w:cs="Arial"/>
          <w:b/>
          <w:bCs/>
          <w:kern w:val="32"/>
          <w:szCs w:val="24"/>
          <w:u w:val="single"/>
        </w:rPr>
        <w:t>’s</w:t>
      </w:r>
      <w:r w:rsidR="00152955" w:rsidRPr="007475D5">
        <w:rPr>
          <w:rFonts w:cs="Arial"/>
          <w:b/>
          <w:bCs/>
          <w:kern w:val="32"/>
          <w:szCs w:val="24"/>
          <w:u w:val="single"/>
        </w:rPr>
        <w:t xml:space="preserve"> Directorate</w:t>
      </w:r>
    </w:p>
    <w:p w14:paraId="1EC99879" w14:textId="6A732B7A" w:rsidR="00440EBF" w:rsidRPr="00090038" w:rsidRDefault="00AC2BAA" w:rsidP="007D291B">
      <w:pPr>
        <w:ind w:left="567" w:hanging="567"/>
        <w:rPr>
          <w:rFonts w:cs="Arial"/>
          <w:szCs w:val="24"/>
        </w:rPr>
      </w:pPr>
      <w:r>
        <w:t>2.20</w:t>
      </w:r>
      <w:r w:rsidR="007D291B">
        <w:t xml:space="preserve">    </w:t>
      </w:r>
      <w:r w:rsidR="00B63C98" w:rsidRPr="007475D5">
        <w:t>The People’s</w:t>
      </w:r>
      <w:r w:rsidR="00B63C98" w:rsidRPr="00EB58F7">
        <w:t xml:space="preserve"> Directorate is forecasting an over spend of </w:t>
      </w:r>
      <w:r w:rsidR="00B63C98" w:rsidRPr="00D32187">
        <w:rPr>
          <w:b/>
        </w:rPr>
        <w:t>£</w:t>
      </w:r>
      <w:r w:rsidR="00CF4A50" w:rsidRPr="00D32187">
        <w:rPr>
          <w:b/>
        </w:rPr>
        <w:t>4.693</w:t>
      </w:r>
      <w:r w:rsidR="00B63C98" w:rsidRPr="00D32187">
        <w:rPr>
          <w:b/>
        </w:rPr>
        <w:t xml:space="preserve">m </w:t>
      </w:r>
      <w:r w:rsidR="00B63C98" w:rsidRPr="00EB58F7">
        <w:t xml:space="preserve">at </w:t>
      </w:r>
    </w:p>
    <w:p w14:paraId="36EB2197" w14:textId="0B652C82" w:rsidR="00440EBF" w:rsidRDefault="00440EBF" w:rsidP="009E22B0">
      <w:pPr>
        <w:rPr>
          <w:rFonts w:cs="Arial"/>
          <w:szCs w:val="24"/>
        </w:rPr>
      </w:pPr>
      <w:r>
        <w:tab/>
      </w:r>
      <w:r w:rsidR="00B63C98">
        <w:t xml:space="preserve">Quarter </w:t>
      </w:r>
      <w:r w:rsidR="00CF4A50">
        <w:t>2</w:t>
      </w:r>
      <w:r w:rsidR="000A4437" w:rsidRPr="008B25B2">
        <w:rPr>
          <w:rFonts w:cs="Arial"/>
          <w:szCs w:val="24"/>
        </w:rPr>
        <w:t>. This is a</w:t>
      </w:r>
      <w:r w:rsidR="001617BD" w:rsidRPr="003728EE">
        <w:rPr>
          <w:rFonts w:cs="Arial"/>
          <w:szCs w:val="24"/>
        </w:rPr>
        <w:t>fter one off planned management action</w:t>
      </w:r>
      <w:r w:rsidR="008F233C" w:rsidRPr="008D4ADA">
        <w:rPr>
          <w:rFonts w:cs="Arial"/>
          <w:szCs w:val="24"/>
        </w:rPr>
        <w:t>s</w:t>
      </w:r>
      <w:r w:rsidR="001617BD" w:rsidRPr="008D4ADA">
        <w:rPr>
          <w:rFonts w:cs="Arial"/>
          <w:szCs w:val="24"/>
        </w:rPr>
        <w:t xml:space="preserve"> and </w:t>
      </w:r>
      <w:r w:rsidR="008F233C" w:rsidRPr="008D4ADA">
        <w:rPr>
          <w:rFonts w:cs="Arial"/>
          <w:szCs w:val="24"/>
        </w:rPr>
        <w:t xml:space="preserve">use </w:t>
      </w:r>
    </w:p>
    <w:p w14:paraId="75746A34" w14:textId="16601021" w:rsidR="006A4ADD" w:rsidRDefault="00440EBF" w:rsidP="009E22B0">
      <w:pPr>
        <w:rPr>
          <w:rFonts w:cs="Arial"/>
          <w:szCs w:val="24"/>
        </w:rPr>
      </w:pPr>
      <w:r>
        <w:rPr>
          <w:rFonts w:cs="Arial"/>
          <w:szCs w:val="24"/>
        </w:rPr>
        <w:tab/>
      </w:r>
      <w:r w:rsidR="008F233C" w:rsidRPr="008B25B2">
        <w:rPr>
          <w:rFonts w:cs="Arial"/>
          <w:szCs w:val="24"/>
        </w:rPr>
        <w:t xml:space="preserve">of Children’s Social Care Reserve </w:t>
      </w:r>
      <w:r w:rsidR="00CF4A50">
        <w:rPr>
          <w:rFonts w:cs="Arial"/>
          <w:szCs w:val="24"/>
        </w:rPr>
        <w:t>of</w:t>
      </w:r>
      <w:r w:rsidR="001617BD" w:rsidRPr="003728EE">
        <w:rPr>
          <w:rFonts w:cs="Arial"/>
          <w:szCs w:val="24"/>
        </w:rPr>
        <w:t xml:space="preserve"> £1.8</w:t>
      </w:r>
      <w:r w:rsidR="00CF4A50">
        <w:rPr>
          <w:rFonts w:cs="Arial"/>
          <w:szCs w:val="24"/>
        </w:rPr>
        <w:t>46</w:t>
      </w:r>
      <w:r w:rsidR="001617BD" w:rsidRPr="008D4ADA">
        <w:rPr>
          <w:rFonts w:cs="Arial"/>
          <w:szCs w:val="24"/>
        </w:rPr>
        <w:t>m.</w:t>
      </w:r>
    </w:p>
    <w:p w14:paraId="74A21372" w14:textId="77777777" w:rsidR="007D1D99" w:rsidRDefault="007D1D99" w:rsidP="009E22B0">
      <w:pPr>
        <w:rPr>
          <w:rFonts w:cs="Arial"/>
          <w:szCs w:val="24"/>
        </w:rPr>
      </w:pPr>
    </w:p>
    <w:p w14:paraId="249506C5" w14:textId="15341E3D" w:rsidR="00587B0D" w:rsidRPr="00AF598E" w:rsidRDefault="007D1D99" w:rsidP="007D1D99">
      <w:pPr>
        <w:ind w:firstLine="720"/>
        <w:rPr>
          <w:rFonts w:cs="Arial"/>
          <w:b/>
          <w:szCs w:val="24"/>
          <w:u w:val="single"/>
        </w:rPr>
      </w:pPr>
      <w:r w:rsidRPr="00AF598E">
        <w:rPr>
          <w:rFonts w:cs="Arial"/>
          <w:b/>
          <w:szCs w:val="24"/>
          <w:u w:val="single"/>
        </w:rPr>
        <w:t>Table 5: People</w:t>
      </w:r>
      <w:r w:rsidR="00AF598E" w:rsidRPr="00AF598E">
        <w:rPr>
          <w:rFonts w:cs="Arial"/>
          <w:b/>
          <w:szCs w:val="24"/>
          <w:u w:val="single"/>
        </w:rPr>
        <w:t xml:space="preserve">’s </w:t>
      </w:r>
      <w:r w:rsidR="00673E50">
        <w:rPr>
          <w:rFonts w:cs="Arial"/>
          <w:b/>
          <w:szCs w:val="24"/>
          <w:u w:val="single"/>
        </w:rPr>
        <w:t xml:space="preserve">Directorate’s </w:t>
      </w:r>
      <w:r w:rsidR="00AF598E" w:rsidRPr="00AF598E">
        <w:rPr>
          <w:rFonts w:cs="Arial"/>
          <w:b/>
          <w:szCs w:val="24"/>
          <w:u w:val="single"/>
        </w:rPr>
        <w:t>Variance</w:t>
      </w:r>
    </w:p>
    <w:p w14:paraId="4FF6F448" w14:textId="77777777" w:rsidR="00AF598E" w:rsidRDefault="00AF598E" w:rsidP="007D1D99">
      <w:pPr>
        <w:ind w:firstLine="720"/>
        <w:rPr>
          <w:rFonts w:cs="Arial"/>
          <w:szCs w:val="24"/>
        </w:rPr>
      </w:pPr>
    </w:p>
    <w:tbl>
      <w:tblPr>
        <w:tblW w:w="7173" w:type="dxa"/>
        <w:tblInd w:w="732" w:type="dxa"/>
        <w:tblLook w:val="04A0" w:firstRow="1" w:lastRow="0" w:firstColumn="1" w:lastColumn="0" w:noHBand="0" w:noVBand="1"/>
      </w:tblPr>
      <w:tblGrid>
        <w:gridCol w:w="3180"/>
        <w:gridCol w:w="1164"/>
        <w:gridCol w:w="1164"/>
        <w:gridCol w:w="1665"/>
      </w:tblGrid>
      <w:tr w:rsidR="00587B0D" w:rsidRPr="00587B0D" w14:paraId="5B863083" w14:textId="77777777" w:rsidTr="001D70DB">
        <w:trPr>
          <w:trHeight w:val="87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62615" w14:textId="77777777" w:rsidR="00587B0D" w:rsidRPr="00587B0D" w:rsidRDefault="00587B0D" w:rsidP="00587B0D">
            <w:pPr>
              <w:rPr>
                <w:rFonts w:cs="Arial"/>
                <w:szCs w:val="24"/>
              </w:rPr>
            </w:pPr>
            <w:r w:rsidRPr="00587B0D">
              <w:rPr>
                <w:rFonts w:cs="Arial"/>
                <w:szCs w:val="24"/>
              </w:rPr>
              <w:t> </w:t>
            </w:r>
          </w:p>
        </w:tc>
        <w:tc>
          <w:tcPr>
            <w:tcW w:w="1164" w:type="dxa"/>
            <w:tcBorders>
              <w:top w:val="single" w:sz="8" w:space="0" w:color="auto"/>
              <w:left w:val="nil"/>
              <w:bottom w:val="single" w:sz="8" w:space="0" w:color="auto"/>
              <w:right w:val="single" w:sz="8" w:space="0" w:color="auto"/>
            </w:tcBorders>
            <w:shd w:val="clear" w:color="auto" w:fill="auto"/>
            <w:vAlign w:val="center"/>
            <w:hideMark/>
          </w:tcPr>
          <w:p w14:paraId="64AFFD58" w14:textId="77777777" w:rsidR="00587B0D" w:rsidRPr="00587B0D" w:rsidRDefault="00587B0D" w:rsidP="00587B0D">
            <w:pPr>
              <w:rPr>
                <w:rFonts w:cs="Arial"/>
                <w:szCs w:val="24"/>
              </w:rPr>
            </w:pPr>
            <w:r w:rsidRPr="00587B0D">
              <w:rPr>
                <w:rFonts w:cs="Arial"/>
                <w:szCs w:val="24"/>
              </w:rPr>
              <w:t>Q2 Variance £'000</w:t>
            </w:r>
          </w:p>
        </w:tc>
        <w:tc>
          <w:tcPr>
            <w:tcW w:w="1164" w:type="dxa"/>
            <w:tcBorders>
              <w:top w:val="single" w:sz="8" w:space="0" w:color="auto"/>
              <w:left w:val="nil"/>
              <w:bottom w:val="single" w:sz="8" w:space="0" w:color="auto"/>
              <w:right w:val="single" w:sz="8" w:space="0" w:color="auto"/>
            </w:tcBorders>
          </w:tcPr>
          <w:p w14:paraId="64981782" w14:textId="77777777" w:rsidR="001D70DB" w:rsidRDefault="00587B0D" w:rsidP="00587B0D">
            <w:pPr>
              <w:rPr>
                <w:rFonts w:cs="Arial"/>
                <w:szCs w:val="24"/>
              </w:rPr>
            </w:pPr>
            <w:r w:rsidRPr="00587B0D">
              <w:rPr>
                <w:rFonts w:cs="Arial"/>
                <w:szCs w:val="24"/>
              </w:rPr>
              <w:t xml:space="preserve">Q1 Variance </w:t>
            </w:r>
          </w:p>
          <w:p w14:paraId="4E9713A0" w14:textId="39CAC5B8" w:rsidR="00587B0D" w:rsidRPr="00587B0D" w:rsidRDefault="00587B0D" w:rsidP="00587B0D">
            <w:pPr>
              <w:rPr>
                <w:rFonts w:cs="Arial"/>
                <w:szCs w:val="24"/>
              </w:rPr>
            </w:pPr>
            <w:r w:rsidRPr="00587B0D">
              <w:rPr>
                <w:rFonts w:cs="Arial"/>
                <w:szCs w:val="24"/>
              </w:rPr>
              <w:t>£'000</w:t>
            </w:r>
          </w:p>
        </w:tc>
        <w:tc>
          <w:tcPr>
            <w:tcW w:w="1665" w:type="dxa"/>
            <w:tcBorders>
              <w:top w:val="single" w:sz="8" w:space="0" w:color="auto"/>
              <w:left w:val="nil"/>
              <w:bottom w:val="single" w:sz="8" w:space="0" w:color="auto"/>
              <w:right w:val="single" w:sz="8" w:space="0" w:color="auto"/>
            </w:tcBorders>
          </w:tcPr>
          <w:p w14:paraId="0D5737A4" w14:textId="77777777" w:rsidR="00587B0D" w:rsidRDefault="00587B0D" w:rsidP="00587B0D">
            <w:pPr>
              <w:rPr>
                <w:rFonts w:cs="Arial"/>
                <w:szCs w:val="24"/>
              </w:rPr>
            </w:pPr>
            <w:r w:rsidRPr="00587B0D">
              <w:rPr>
                <w:rFonts w:cs="Arial"/>
                <w:szCs w:val="24"/>
              </w:rPr>
              <w:t>Movement between Q1 and Q2</w:t>
            </w:r>
          </w:p>
          <w:p w14:paraId="14D8C83B" w14:textId="65FE3730" w:rsidR="001D70DB" w:rsidRPr="00587B0D" w:rsidRDefault="001D70DB" w:rsidP="00587B0D">
            <w:pPr>
              <w:rPr>
                <w:rFonts w:cs="Arial"/>
                <w:szCs w:val="24"/>
              </w:rPr>
            </w:pPr>
            <w:r>
              <w:rPr>
                <w:rFonts w:cs="Arial"/>
                <w:szCs w:val="24"/>
              </w:rPr>
              <w:t>£000</w:t>
            </w:r>
          </w:p>
        </w:tc>
      </w:tr>
      <w:tr w:rsidR="00587B0D" w:rsidRPr="00587B0D" w14:paraId="5C91D5C7" w14:textId="77777777" w:rsidTr="001D70DB">
        <w:trPr>
          <w:trHeight w:val="300"/>
        </w:trPr>
        <w:tc>
          <w:tcPr>
            <w:tcW w:w="3180" w:type="dxa"/>
            <w:tcBorders>
              <w:top w:val="nil"/>
              <w:left w:val="single" w:sz="8" w:space="0" w:color="auto"/>
              <w:bottom w:val="single" w:sz="8" w:space="0" w:color="auto"/>
              <w:right w:val="single" w:sz="8" w:space="0" w:color="auto"/>
            </w:tcBorders>
            <w:shd w:val="clear" w:color="auto" w:fill="auto"/>
            <w:vAlign w:val="center"/>
            <w:hideMark/>
          </w:tcPr>
          <w:p w14:paraId="45FFEA74" w14:textId="75300280" w:rsidR="00587B0D" w:rsidRPr="00587B0D" w:rsidRDefault="00587B0D" w:rsidP="00587B0D">
            <w:pPr>
              <w:rPr>
                <w:rFonts w:cs="Arial"/>
                <w:szCs w:val="24"/>
              </w:rPr>
            </w:pPr>
            <w:r>
              <w:rPr>
                <w:rFonts w:cs="Arial"/>
                <w:szCs w:val="24"/>
              </w:rPr>
              <w:t>Adult</w:t>
            </w:r>
          </w:p>
        </w:tc>
        <w:tc>
          <w:tcPr>
            <w:tcW w:w="1164" w:type="dxa"/>
            <w:tcBorders>
              <w:top w:val="nil"/>
              <w:left w:val="nil"/>
              <w:bottom w:val="single" w:sz="8" w:space="0" w:color="auto"/>
              <w:right w:val="single" w:sz="8" w:space="0" w:color="auto"/>
            </w:tcBorders>
            <w:shd w:val="clear" w:color="auto" w:fill="auto"/>
            <w:noWrap/>
            <w:vAlign w:val="center"/>
            <w:hideMark/>
          </w:tcPr>
          <w:p w14:paraId="05D24E51" w14:textId="6591DDCD" w:rsidR="00587B0D" w:rsidRPr="00587B0D" w:rsidRDefault="00587B0D" w:rsidP="00587B0D">
            <w:pPr>
              <w:rPr>
                <w:rFonts w:cs="Arial"/>
                <w:szCs w:val="24"/>
              </w:rPr>
            </w:pPr>
            <w:r>
              <w:rPr>
                <w:rFonts w:cs="Arial"/>
                <w:szCs w:val="24"/>
              </w:rPr>
              <w:t>2,400</w:t>
            </w:r>
          </w:p>
        </w:tc>
        <w:tc>
          <w:tcPr>
            <w:tcW w:w="1164" w:type="dxa"/>
            <w:tcBorders>
              <w:top w:val="nil"/>
              <w:left w:val="nil"/>
              <w:bottom w:val="single" w:sz="8" w:space="0" w:color="auto"/>
              <w:right w:val="single" w:sz="8" w:space="0" w:color="auto"/>
            </w:tcBorders>
          </w:tcPr>
          <w:p w14:paraId="70133BA9" w14:textId="27F6E50E" w:rsidR="00587B0D" w:rsidRPr="00587B0D" w:rsidRDefault="00587B0D" w:rsidP="00587B0D">
            <w:pPr>
              <w:rPr>
                <w:rFonts w:cs="Arial"/>
                <w:szCs w:val="24"/>
              </w:rPr>
            </w:pPr>
            <w:r>
              <w:rPr>
                <w:rFonts w:cs="Arial"/>
                <w:szCs w:val="24"/>
              </w:rPr>
              <w:t>1,831</w:t>
            </w:r>
          </w:p>
        </w:tc>
        <w:tc>
          <w:tcPr>
            <w:tcW w:w="1665" w:type="dxa"/>
            <w:tcBorders>
              <w:top w:val="nil"/>
              <w:left w:val="nil"/>
              <w:bottom w:val="single" w:sz="8" w:space="0" w:color="auto"/>
              <w:right w:val="single" w:sz="8" w:space="0" w:color="auto"/>
            </w:tcBorders>
          </w:tcPr>
          <w:p w14:paraId="2CE4B21D" w14:textId="29040C02" w:rsidR="00587B0D" w:rsidRPr="00587B0D" w:rsidRDefault="00CF4A50" w:rsidP="00587B0D">
            <w:pPr>
              <w:rPr>
                <w:rFonts w:cs="Arial"/>
                <w:szCs w:val="24"/>
              </w:rPr>
            </w:pPr>
            <w:r>
              <w:rPr>
                <w:rFonts w:cs="Arial"/>
                <w:szCs w:val="24"/>
              </w:rPr>
              <w:t xml:space="preserve">  </w:t>
            </w:r>
            <w:r w:rsidR="00587B0D">
              <w:rPr>
                <w:rFonts w:cs="Arial"/>
                <w:szCs w:val="24"/>
              </w:rPr>
              <w:t>569</w:t>
            </w:r>
          </w:p>
        </w:tc>
      </w:tr>
      <w:tr w:rsidR="001305E1" w:rsidRPr="00587B0D" w14:paraId="2EB85B60" w14:textId="77777777" w:rsidTr="001D70DB">
        <w:trPr>
          <w:trHeight w:val="300"/>
        </w:trPr>
        <w:tc>
          <w:tcPr>
            <w:tcW w:w="3180" w:type="dxa"/>
            <w:tcBorders>
              <w:top w:val="nil"/>
              <w:left w:val="single" w:sz="8" w:space="0" w:color="auto"/>
              <w:bottom w:val="single" w:sz="8" w:space="0" w:color="auto"/>
              <w:right w:val="single" w:sz="8" w:space="0" w:color="auto"/>
            </w:tcBorders>
            <w:shd w:val="clear" w:color="auto" w:fill="auto"/>
            <w:vAlign w:val="center"/>
          </w:tcPr>
          <w:p w14:paraId="5F8C57F9" w14:textId="6FA48D8A" w:rsidR="001305E1" w:rsidRDefault="001305E1" w:rsidP="00587B0D">
            <w:pPr>
              <w:rPr>
                <w:rFonts w:cs="Arial"/>
                <w:szCs w:val="24"/>
              </w:rPr>
            </w:pPr>
            <w:r>
              <w:rPr>
                <w:rFonts w:cs="Arial"/>
                <w:szCs w:val="24"/>
              </w:rPr>
              <w:t>Children</w:t>
            </w:r>
          </w:p>
        </w:tc>
        <w:tc>
          <w:tcPr>
            <w:tcW w:w="1164" w:type="dxa"/>
            <w:tcBorders>
              <w:top w:val="nil"/>
              <w:left w:val="nil"/>
              <w:bottom w:val="single" w:sz="8" w:space="0" w:color="auto"/>
              <w:right w:val="single" w:sz="8" w:space="0" w:color="auto"/>
            </w:tcBorders>
            <w:shd w:val="clear" w:color="auto" w:fill="auto"/>
            <w:noWrap/>
            <w:vAlign w:val="center"/>
          </w:tcPr>
          <w:p w14:paraId="2617CD2A" w14:textId="16D6E2B1" w:rsidR="001305E1" w:rsidRDefault="001305E1" w:rsidP="00587B0D">
            <w:pPr>
              <w:rPr>
                <w:rFonts w:cs="Arial"/>
                <w:szCs w:val="24"/>
              </w:rPr>
            </w:pPr>
            <w:r>
              <w:rPr>
                <w:rFonts w:cs="Arial"/>
                <w:szCs w:val="24"/>
              </w:rPr>
              <w:t>2,821</w:t>
            </w:r>
          </w:p>
        </w:tc>
        <w:tc>
          <w:tcPr>
            <w:tcW w:w="1164" w:type="dxa"/>
            <w:tcBorders>
              <w:top w:val="nil"/>
              <w:left w:val="nil"/>
              <w:bottom w:val="single" w:sz="8" w:space="0" w:color="auto"/>
              <w:right w:val="single" w:sz="8" w:space="0" w:color="auto"/>
            </w:tcBorders>
          </w:tcPr>
          <w:p w14:paraId="7A2698B3" w14:textId="4CC36802" w:rsidR="001305E1" w:rsidRDefault="001305E1" w:rsidP="00587B0D">
            <w:pPr>
              <w:rPr>
                <w:rFonts w:cs="Arial"/>
                <w:szCs w:val="24"/>
              </w:rPr>
            </w:pPr>
            <w:r>
              <w:rPr>
                <w:rFonts w:cs="Arial"/>
                <w:szCs w:val="24"/>
              </w:rPr>
              <w:t>1,599</w:t>
            </w:r>
          </w:p>
        </w:tc>
        <w:tc>
          <w:tcPr>
            <w:tcW w:w="1665" w:type="dxa"/>
            <w:tcBorders>
              <w:top w:val="nil"/>
              <w:left w:val="nil"/>
              <w:bottom w:val="single" w:sz="8" w:space="0" w:color="auto"/>
              <w:right w:val="single" w:sz="8" w:space="0" w:color="auto"/>
            </w:tcBorders>
          </w:tcPr>
          <w:p w14:paraId="35BD0011" w14:textId="7F79E80B" w:rsidR="001305E1" w:rsidRDefault="001305E1" w:rsidP="00587B0D">
            <w:pPr>
              <w:rPr>
                <w:rFonts w:cs="Arial"/>
                <w:szCs w:val="24"/>
              </w:rPr>
            </w:pPr>
            <w:r>
              <w:rPr>
                <w:rFonts w:cs="Arial"/>
                <w:szCs w:val="24"/>
              </w:rPr>
              <w:t>1,222</w:t>
            </w:r>
          </w:p>
        </w:tc>
      </w:tr>
      <w:tr w:rsidR="001305E1" w:rsidRPr="00587B0D" w14:paraId="74547A1C" w14:textId="77777777" w:rsidTr="001D70DB">
        <w:trPr>
          <w:trHeight w:val="300"/>
        </w:trPr>
        <w:tc>
          <w:tcPr>
            <w:tcW w:w="3180" w:type="dxa"/>
            <w:tcBorders>
              <w:top w:val="nil"/>
              <w:left w:val="single" w:sz="8" w:space="0" w:color="auto"/>
              <w:bottom w:val="single" w:sz="8" w:space="0" w:color="auto"/>
              <w:right w:val="single" w:sz="8" w:space="0" w:color="auto"/>
            </w:tcBorders>
            <w:shd w:val="clear" w:color="auto" w:fill="auto"/>
            <w:vAlign w:val="center"/>
          </w:tcPr>
          <w:p w14:paraId="61C32BED" w14:textId="0A905094" w:rsidR="001305E1" w:rsidRPr="00587B0D" w:rsidRDefault="001305E1" w:rsidP="00587B0D">
            <w:pPr>
              <w:rPr>
                <w:rFonts w:cs="Arial"/>
                <w:szCs w:val="24"/>
              </w:rPr>
            </w:pPr>
            <w:r>
              <w:rPr>
                <w:rFonts w:cs="Arial"/>
                <w:szCs w:val="24"/>
              </w:rPr>
              <w:t>Public Health</w:t>
            </w:r>
          </w:p>
        </w:tc>
        <w:tc>
          <w:tcPr>
            <w:tcW w:w="1164" w:type="dxa"/>
            <w:tcBorders>
              <w:top w:val="nil"/>
              <w:left w:val="nil"/>
              <w:bottom w:val="single" w:sz="8" w:space="0" w:color="auto"/>
              <w:right w:val="single" w:sz="8" w:space="0" w:color="auto"/>
            </w:tcBorders>
            <w:shd w:val="clear" w:color="auto" w:fill="auto"/>
            <w:noWrap/>
            <w:vAlign w:val="center"/>
          </w:tcPr>
          <w:p w14:paraId="17790DE0" w14:textId="368AFEA1" w:rsidR="001305E1" w:rsidRPr="00587B0D" w:rsidRDefault="001D70DB" w:rsidP="00587B0D">
            <w:pPr>
              <w:rPr>
                <w:rFonts w:cs="Arial"/>
                <w:szCs w:val="24"/>
              </w:rPr>
            </w:pPr>
            <w:r>
              <w:rPr>
                <w:rFonts w:cs="Arial"/>
                <w:szCs w:val="24"/>
              </w:rPr>
              <w:t xml:space="preserve">  (</w:t>
            </w:r>
            <w:r w:rsidR="001305E1">
              <w:rPr>
                <w:rFonts w:cs="Arial"/>
                <w:szCs w:val="24"/>
              </w:rPr>
              <w:t>528</w:t>
            </w:r>
            <w:r>
              <w:rPr>
                <w:rFonts w:cs="Arial"/>
                <w:szCs w:val="24"/>
              </w:rPr>
              <w:t>)</w:t>
            </w:r>
          </w:p>
        </w:tc>
        <w:tc>
          <w:tcPr>
            <w:tcW w:w="1164" w:type="dxa"/>
            <w:tcBorders>
              <w:top w:val="nil"/>
              <w:left w:val="nil"/>
              <w:bottom w:val="single" w:sz="8" w:space="0" w:color="auto"/>
              <w:right w:val="single" w:sz="8" w:space="0" w:color="auto"/>
            </w:tcBorders>
          </w:tcPr>
          <w:p w14:paraId="1A15F7A2" w14:textId="79D80537" w:rsidR="001305E1" w:rsidRPr="00587B0D" w:rsidRDefault="001D70DB" w:rsidP="00587B0D">
            <w:pPr>
              <w:rPr>
                <w:rFonts w:cs="Arial"/>
                <w:szCs w:val="24"/>
              </w:rPr>
            </w:pPr>
            <w:r>
              <w:rPr>
                <w:rFonts w:cs="Arial"/>
                <w:szCs w:val="24"/>
              </w:rPr>
              <w:t xml:space="preserve">  (</w:t>
            </w:r>
            <w:r w:rsidR="001305E1">
              <w:rPr>
                <w:rFonts w:cs="Arial"/>
                <w:szCs w:val="24"/>
              </w:rPr>
              <w:t>351</w:t>
            </w:r>
            <w:r>
              <w:rPr>
                <w:rFonts w:cs="Arial"/>
                <w:szCs w:val="24"/>
              </w:rPr>
              <w:t>)</w:t>
            </w:r>
          </w:p>
        </w:tc>
        <w:tc>
          <w:tcPr>
            <w:tcW w:w="1665" w:type="dxa"/>
            <w:tcBorders>
              <w:top w:val="nil"/>
              <w:left w:val="nil"/>
              <w:bottom w:val="single" w:sz="8" w:space="0" w:color="auto"/>
              <w:right w:val="single" w:sz="8" w:space="0" w:color="auto"/>
            </w:tcBorders>
          </w:tcPr>
          <w:p w14:paraId="57C9D09A" w14:textId="7F238C85" w:rsidR="001305E1" w:rsidRPr="00587B0D" w:rsidRDefault="001D70DB" w:rsidP="00587B0D">
            <w:pPr>
              <w:rPr>
                <w:rFonts w:cs="Arial"/>
                <w:szCs w:val="24"/>
              </w:rPr>
            </w:pPr>
            <w:r>
              <w:rPr>
                <w:rFonts w:cs="Arial"/>
                <w:szCs w:val="24"/>
              </w:rPr>
              <w:t xml:space="preserve"> (</w:t>
            </w:r>
            <w:r w:rsidR="001305E1">
              <w:rPr>
                <w:rFonts w:cs="Arial"/>
                <w:szCs w:val="24"/>
              </w:rPr>
              <w:t>177</w:t>
            </w:r>
            <w:r>
              <w:rPr>
                <w:rFonts w:cs="Arial"/>
                <w:szCs w:val="24"/>
              </w:rPr>
              <w:t>)</w:t>
            </w:r>
          </w:p>
        </w:tc>
      </w:tr>
      <w:tr w:rsidR="001305E1" w:rsidRPr="00587B0D" w14:paraId="255F75E8" w14:textId="77777777" w:rsidTr="001D70DB">
        <w:trPr>
          <w:trHeight w:val="300"/>
        </w:trPr>
        <w:tc>
          <w:tcPr>
            <w:tcW w:w="3180" w:type="dxa"/>
            <w:tcBorders>
              <w:top w:val="nil"/>
              <w:left w:val="single" w:sz="8" w:space="0" w:color="auto"/>
              <w:bottom w:val="nil"/>
              <w:right w:val="single" w:sz="8" w:space="0" w:color="auto"/>
            </w:tcBorders>
            <w:shd w:val="clear" w:color="auto" w:fill="auto"/>
            <w:vAlign w:val="center"/>
            <w:hideMark/>
          </w:tcPr>
          <w:p w14:paraId="00BFDFD7" w14:textId="77777777" w:rsidR="001305E1" w:rsidRPr="00587B0D" w:rsidRDefault="001305E1" w:rsidP="00587B0D">
            <w:pPr>
              <w:rPr>
                <w:rFonts w:cs="Arial"/>
                <w:szCs w:val="24"/>
              </w:rPr>
            </w:pPr>
            <w:r w:rsidRPr="00587B0D">
              <w:rPr>
                <w:rFonts w:cs="Arial"/>
                <w:szCs w:val="24"/>
              </w:rPr>
              <w:t>Total</w:t>
            </w:r>
          </w:p>
        </w:tc>
        <w:tc>
          <w:tcPr>
            <w:tcW w:w="1164" w:type="dxa"/>
            <w:tcBorders>
              <w:top w:val="nil"/>
              <w:left w:val="nil"/>
              <w:bottom w:val="nil"/>
              <w:right w:val="single" w:sz="8" w:space="0" w:color="auto"/>
            </w:tcBorders>
            <w:shd w:val="clear" w:color="auto" w:fill="auto"/>
            <w:noWrap/>
            <w:vAlign w:val="center"/>
            <w:hideMark/>
          </w:tcPr>
          <w:p w14:paraId="5BFAF373" w14:textId="0F630194" w:rsidR="001305E1" w:rsidRPr="00587B0D" w:rsidRDefault="001305E1" w:rsidP="00587B0D">
            <w:pPr>
              <w:rPr>
                <w:rFonts w:cs="Arial"/>
                <w:szCs w:val="24"/>
              </w:rPr>
            </w:pPr>
            <w:r>
              <w:rPr>
                <w:rFonts w:cs="Arial"/>
                <w:szCs w:val="24"/>
              </w:rPr>
              <w:t>4,693</w:t>
            </w:r>
          </w:p>
        </w:tc>
        <w:tc>
          <w:tcPr>
            <w:tcW w:w="1164" w:type="dxa"/>
            <w:tcBorders>
              <w:top w:val="nil"/>
              <w:left w:val="nil"/>
              <w:bottom w:val="nil"/>
              <w:right w:val="single" w:sz="8" w:space="0" w:color="auto"/>
            </w:tcBorders>
          </w:tcPr>
          <w:p w14:paraId="455A7365" w14:textId="6DC41274" w:rsidR="001305E1" w:rsidRPr="00587B0D" w:rsidRDefault="001305E1" w:rsidP="00587B0D">
            <w:pPr>
              <w:rPr>
                <w:rFonts w:cs="Arial"/>
                <w:szCs w:val="24"/>
              </w:rPr>
            </w:pPr>
            <w:r>
              <w:rPr>
                <w:rFonts w:cs="Arial"/>
                <w:szCs w:val="24"/>
              </w:rPr>
              <w:t>3,079</w:t>
            </w:r>
          </w:p>
        </w:tc>
        <w:tc>
          <w:tcPr>
            <w:tcW w:w="1665" w:type="dxa"/>
            <w:tcBorders>
              <w:top w:val="nil"/>
              <w:left w:val="nil"/>
              <w:bottom w:val="nil"/>
              <w:right w:val="single" w:sz="8" w:space="0" w:color="auto"/>
            </w:tcBorders>
          </w:tcPr>
          <w:p w14:paraId="3A09CF38" w14:textId="3B7E0CF6" w:rsidR="001305E1" w:rsidRPr="00587B0D" w:rsidRDefault="001305E1" w:rsidP="00587B0D">
            <w:pPr>
              <w:rPr>
                <w:rFonts w:cs="Arial"/>
                <w:szCs w:val="24"/>
              </w:rPr>
            </w:pPr>
            <w:r>
              <w:rPr>
                <w:rFonts w:cs="Arial"/>
                <w:szCs w:val="24"/>
              </w:rPr>
              <w:t>1,641</w:t>
            </w:r>
          </w:p>
        </w:tc>
      </w:tr>
      <w:tr w:rsidR="001305E1" w:rsidRPr="00587B0D" w14:paraId="3BF2B89F" w14:textId="77777777" w:rsidTr="001D70DB">
        <w:trPr>
          <w:trHeight w:val="129"/>
        </w:trPr>
        <w:tc>
          <w:tcPr>
            <w:tcW w:w="3180" w:type="dxa"/>
            <w:tcBorders>
              <w:top w:val="nil"/>
              <w:left w:val="single" w:sz="8" w:space="0" w:color="auto"/>
              <w:bottom w:val="double" w:sz="6" w:space="0" w:color="auto"/>
              <w:right w:val="single" w:sz="8" w:space="0" w:color="auto"/>
            </w:tcBorders>
            <w:shd w:val="clear" w:color="auto" w:fill="auto"/>
            <w:vAlign w:val="center"/>
          </w:tcPr>
          <w:p w14:paraId="5A3B0199" w14:textId="77777777" w:rsidR="001305E1" w:rsidRPr="00587B0D" w:rsidRDefault="001305E1" w:rsidP="00587B0D">
            <w:pPr>
              <w:rPr>
                <w:rFonts w:cs="Arial"/>
                <w:szCs w:val="24"/>
              </w:rPr>
            </w:pPr>
          </w:p>
        </w:tc>
        <w:tc>
          <w:tcPr>
            <w:tcW w:w="1164" w:type="dxa"/>
            <w:tcBorders>
              <w:top w:val="nil"/>
              <w:left w:val="nil"/>
              <w:bottom w:val="double" w:sz="6" w:space="0" w:color="auto"/>
              <w:right w:val="single" w:sz="8" w:space="0" w:color="auto"/>
            </w:tcBorders>
            <w:shd w:val="clear" w:color="auto" w:fill="auto"/>
            <w:noWrap/>
            <w:vAlign w:val="center"/>
          </w:tcPr>
          <w:p w14:paraId="24B92CE4" w14:textId="77777777" w:rsidR="001305E1" w:rsidRPr="00587B0D" w:rsidRDefault="001305E1" w:rsidP="00587B0D">
            <w:pPr>
              <w:rPr>
                <w:rFonts w:cs="Arial"/>
                <w:szCs w:val="24"/>
              </w:rPr>
            </w:pPr>
          </w:p>
        </w:tc>
        <w:tc>
          <w:tcPr>
            <w:tcW w:w="1164" w:type="dxa"/>
            <w:tcBorders>
              <w:top w:val="nil"/>
              <w:left w:val="nil"/>
              <w:bottom w:val="double" w:sz="6" w:space="0" w:color="auto"/>
              <w:right w:val="single" w:sz="8" w:space="0" w:color="auto"/>
            </w:tcBorders>
          </w:tcPr>
          <w:p w14:paraId="6EFBE64A" w14:textId="77777777" w:rsidR="001305E1" w:rsidRPr="00587B0D" w:rsidRDefault="001305E1" w:rsidP="00587B0D">
            <w:pPr>
              <w:rPr>
                <w:rFonts w:cs="Arial"/>
                <w:szCs w:val="24"/>
              </w:rPr>
            </w:pPr>
          </w:p>
        </w:tc>
        <w:tc>
          <w:tcPr>
            <w:tcW w:w="1665" w:type="dxa"/>
            <w:tcBorders>
              <w:top w:val="nil"/>
              <w:left w:val="nil"/>
              <w:bottom w:val="double" w:sz="6" w:space="0" w:color="auto"/>
              <w:right w:val="single" w:sz="8" w:space="0" w:color="auto"/>
            </w:tcBorders>
          </w:tcPr>
          <w:p w14:paraId="50BE9F51" w14:textId="77777777" w:rsidR="001305E1" w:rsidRPr="00587B0D" w:rsidRDefault="001305E1" w:rsidP="00587B0D">
            <w:pPr>
              <w:rPr>
                <w:rFonts w:cs="Arial"/>
                <w:szCs w:val="24"/>
              </w:rPr>
            </w:pPr>
          </w:p>
        </w:tc>
      </w:tr>
    </w:tbl>
    <w:p w14:paraId="0431779B" w14:textId="77777777" w:rsidR="00587B0D" w:rsidRDefault="00587B0D" w:rsidP="009E22B0">
      <w:pPr>
        <w:rPr>
          <w:rFonts w:cs="Arial"/>
          <w:szCs w:val="24"/>
        </w:rPr>
      </w:pPr>
    </w:p>
    <w:p w14:paraId="389C2840" w14:textId="41A47114" w:rsidR="00487842" w:rsidRDefault="00D32187" w:rsidP="008F21C7">
      <w:pPr>
        <w:ind w:firstLine="709"/>
        <w:rPr>
          <w:rFonts w:cs="Arial"/>
          <w:szCs w:val="24"/>
          <w:u w:val="single"/>
        </w:rPr>
      </w:pPr>
      <w:bookmarkStart w:id="3" w:name="_Toc372706221"/>
      <w:r w:rsidRPr="008F21C7">
        <w:rPr>
          <w:rFonts w:cs="Arial"/>
          <w:szCs w:val="24"/>
          <w:u w:val="single"/>
        </w:rPr>
        <w:t>Adult Services</w:t>
      </w:r>
    </w:p>
    <w:p w14:paraId="5C92D432" w14:textId="77777777" w:rsidR="00FA683C" w:rsidRPr="008F21C7" w:rsidRDefault="00FA683C" w:rsidP="008F21C7">
      <w:pPr>
        <w:ind w:firstLine="709"/>
        <w:rPr>
          <w:rFonts w:cs="Arial"/>
          <w:szCs w:val="24"/>
          <w:u w:val="single"/>
        </w:rPr>
      </w:pPr>
    </w:p>
    <w:p w14:paraId="4EF11AA8" w14:textId="7361B883" w:rsidR="00757FEA" w:rsidRPr="006A6FB1" w:rsidRDefault="00B63C98" w:rsidP="001F1E67">
      <w:pPr>
        <w:pStyle w:val="ListParagraph"/>
        <w:numPr>
          <w:ilvl w:val="1"/>
          <w:numId w:val="31"/>
        </w:numPr>
        <w:spacing w:after="120"/>
        <w:ind w:left="709" w:hanging="709"/>
        <w:jc w:val="both"/>
        <w:rPr>
          <w:rFonts w:cs="Arial"/>
          <w:szCs w:val="24"/>
        </w:rPr>
      </w:pPr>
      <w:r w:rsidRPr="006A6FB1">
        <w:rPr>
          <w:rFonts w:cs="Arial"/>
          <w:bCs/>
          <w:szCs w:val="24"/>
        </w:rPr>
        <w:t xml:space="preserve">At Quarter </w:t>
      </w:r>
      <w:r w:rsidR="00CF4A50" w:rsidRPr="006A6FB1">
        <w:rPr>
          <w:rFonts w:cs="Arial"/>
          <w:bCs/>
          <w:szCs w:val="24"/>
        </w:rPr>
        <w:t>2</w:t>
      </w:r>
      <w:r w:rsidR="007D1D99">
        <w:rPr>
          <w:rFonts w:cs="Arial"/>
          <w:bCs/>
          <w:szCs w:val="24"/>
        </w:rPr>
        <w:t>, the Adults Division</w:t>
      </w:r>
      <w:r w:rsidRPr="006A6FB1">
        <w:rPr>
          <w:rFonts w:cs="Arial"/>
          <w:bCs/>
          <w:szCs w:val="24"/>
        </w:rPr>
        <w:t xml:space="preserve"> is forecast to overspend by £</w:t>
      </w:r>
      <w:r w:rsidR="00CF4A50" w:rsidRPr="006A6FB1">
        <w:rPr>
          <w:rFonts w:cs="Arial"/>
          <w:bCs/>
          <w:szCs w:val="24"/>
        </w:rPr>
        <w:t>2.4</w:t>
      </w:r>
      <w:r w:rsidR="007B7826" w:rsidRPr="006A6FB1">
        <w:rPr>
          <w:rFonts w:cs="Arial"/>
          <w:bCs/>
          <w:szCs w:val="24"/>
        </w:rPr>
        <w:t>m</w:t>
      </w:r>
      <w:r w:rsidR="00423E1E" w:rsidRPr="006A6FB1">
        <w:rPr>
          <w:rFonts w:cs="Arial"/>
          <w:bCs/>
          <w:szCs w:val="24"/>
        </w:rPr>
        <w:t>.</w:t>
      </w:r>
      <w:r w:rsidR="00CF4A50" w:rsidRPr="006A6FB1">
        <w:rPr>
          <w:rFonts w:cs="Arial"/>
          <w:bCs/>
          <w:szCs w:val="24"/>
        </w:rPr>
        <w:t xml:space="preserve"> </w:t>
      </w:r>
      <w:r w:rsidR="00D32187" w:rsidRPr="006A6FB1">
        <w:rPr>
          <w:rFonts w:cs="Arial"/>
          <w:bCs/>
          <w:szCs w:val="24"/>
        </w:rPr>
        <w:t>This represents</w:t>
      </w:r>
      <w:r w:rsidR="00CF4A50" w:rsidRPr="006A6FB1">
        <w:rPr>
          <w:rFonts w:cs="Arial"/>
          <w:bCs/>
          <w:szCs w:val="24"/>
        </w:rPr>
        <w:t xml:space="preserve"> an increase of £569k on the position at quarter 1.</w:t>
      </w:r>
    </w:p>
    <w:p w14:paraId="015C925F" w14:textId="0F5CCE34" w:rsidR="00CF4A50" w:rsidRPr="006A6FB1" w:rsidRDefault="00CF4A50" w:rsidP="001F1E67">
      <w:pPr>
        <w:pStyle w:val="ListParagraph"/>
        <w:numPr>
          <w:ilvl w:val="1"/>
          <w:numId w:val="31"/>
        </w:numPr>
        <w:spacing w:after="120"/>
        <w:ind w:left="709" w:hanging="709"/>
        <w:jc w:val="both"/>
        <w:rPr>
          <w:rFonts w:cs="Arial"/>
          <w:szCs w:val="24"/>
          <w:u w:val="single"/>
        </w:rPr>
      </w:pPr>
      <w:r w:rsidRPr="006A6FB1">
        <w:rPr>
          <w:rFonts w:cs="Arial"/>
          <w:bCs/>
          <w:szCs w:val="24"/>
        </w:rPr>
        <w:t xml:space="preserve">The movement of £569k between Q1 and Q2 represents the full year </w:t>
      </w:r>
      <w:r w:rsidR="00B40EB7">
        <w:rPr>
          <w:rFonts w:cs="Arial"/>
          <w:bCs/>
          <w:szCs w:val="24"/>
        </w:rPr>
        <w:t xml:space="preserve">shortfall on the delivery </w:t>
      </w:r>
      <w:r w:rsidRPr="006A6FB1">
        <w:rPr>
          <w:rFonts w:cs="Arial"/>
          <w:bCs/>
          <w:szCs w:val="24"/>
        </w:rPr>
        <w:t xml:space="preserve">of </w:t>
      </w:r>
      <w:r w:rsidR="00B40EB7">
        <w:rPr>
          <w:rFonts w:cs="Arial"/>
          <w:bCs/>
          <w:szCs w:val="24"/>
        </w:rPr>
        <w:t xml:space="preserve">the </w:t>
      </w:r>
      <w:r w:rsidRPr="006A6FB1">
        <w:rPr>
          <w:rFonts w:cs="Arial"/>
          <w:bCs/>
          <w:szCs w:val="24"/>
        </w:rPr>
        <w:t>Kenmore</w:t>
      </w:r>
      <w:r w:rsidR="00CA60A9">
        <w:rPr>
          <w:rFonts w:cs="Arial"/>
          <w:bCs/>
          <w:szCs w:val="24"/>
        </w:rPr>
        <w:t xml:space="preserve"> Community Model savings</w:t>
      </w:r>
      <w:r w:rsidR="00244B4B">
        <w:rPr>
          <w:rFonts w:cs="Arial"/>
          <w:bCs/>
          <w:szCs w:val="24"/>
        </w:rPr>
        <w:t xml:space="preserve">- </w:t>
      </w:r>
      <w:r w:rsidR="00B40EB7">
        <w:rPr>
          <w:rFonts w:cs="Arial"/>
          <w:bCs/>
          <w:szCs w:val="24"/>
        </w:rPr>
        <w:t>£132k</w:t>
      </w:r>
      <w:r w:rsidRPr="006A6FB1">
        <w:rPr>
          <w:rFonts w:cs="Arial"/>
          <w:bCs/>
          <w:szCs w:val="24"/>
        </w:rPr>
        <w:t>, increase in bad debt provision</w:t>
      </w:r>
      <w:r w:rsidR="00244B4B">
        <w:rPr>
          <w:rFonts w:cs="Arial"/>
          <w:bCs/>
          <w:szCs w:val="24"/>
        </w:rPr>
        <w:t xml:space="preserve"> </w:t>
      </w:r>
      <w:r w:rsidR="00B40EB7">
        <w:rPr>
          <w:rFonts w:cs="Arial"/>
          <w:bCs/>
          <w:szCs w:val="24"/>
        </w:rPr>
        <w:t>£196k</w:t>
      </w:r>
      <w:r w:rsidRPr="006A6FB1">
        <w:rPr>
          <w:rFonts w:cs="Arial"/>
          <w:bCs/>
          <w:szCs w:val="24"/>
        </w:rPr>
        <w:t xml:space="preserve"> and </w:t>
      </w:r>
      <w:r w:rsidR="00B40EB7">
        <w:rPr>
          <w:rFonts w:cs="Arial"/>
          <w:bCs/>
          <w:szCs w:val="24"/>
        </w:rPr>
        <w:t xml:space="preserve">increased challenges around Adult placement budget and wider </w:t>
      </w:r>
      <w:r w:rsidRPr="006A6FB1">
        <w:rPr>
          <w:rFonts w:cs="Arial"/>
          <w:bCs/>
          <w:szCs w:val="24"/>
        </w:rPr>
        <w:t>mitigation plans. </w:t>
      </w:r>
    </w:p>
    <w:p w14:paraId="7CF7A4FA" w14:textId="0A82586B" w:rsidR="00F433A0" w:rsidRPr="006A6FB1" w:rsidRDefault="006A6FB1" w:rsidP="008D06CF">
      <w:pPr>
        <w:pStyle w:val="ListParagraph"/>
        <w:numPr>
          <w:ilvl w:val="1"/>
          <w:numId w:val="31"/>
        </w:numPr>
        <w:spacing w:after="120"/>
        <w:ind w:left="709" w:hanging="709"/>
        <w:jc w:val="both"/>
        <w:rPr>
          <w:rFonts w:cs="Arial"/>
          <w:szCs w:val="24"/>
          <w:u w:val="single"/>
        </w:rPr>
      </w:pPr>
      <w:r w:rsidRPr="006A6FB1">
        <w:rPr>
          <w:rFonts w:cs="Arial"/>
          <w:bCs/>
          <w:szCs w:val="24"/>
        </w:rPr>
        <w:t>The overspend of £2.4m represents the following key variations</w:t>
      </w:r>
      <w:r>
        <w:rPr>
          <w:rFonts w:cs="Arial"/>
          <w:bCs/>
          <w:szCs w:val="24"/>
        </w:rPr>
        <w:t>:</w:t>
      </w:r>
      <w:r w:rsidRPr="006A6FB1">
        <w:rPr>
          <w:rFonts w:cs="Arial"/>
          <w:bCs/>
          <w:szCs w:val="24"/>
        </w:rPr>
        <w:t xml:space="preserve"> </w:t>
      </w:r>
    </w:p>
    <w:p w14:paraId="61DDD445" w14:textId="765F54D0" w:rsidR="006A6FB1" w:rsidRPr="001570AB" w:rsidRDefault="006A6FB1" w:rsidP="00921D48">
      <w:pPr>
        <w:numPr>
          <w:ilvl w:val="0"/>
          <w:numId w:val="24"/>
        </w:numPr>
        <w:ind w:hanging="720"/>
        <w:jc w:val="both"/>
        <w:rPr>
          <w:bCs/>
        </w:rPr>
      </w:pPr>
      <w:r w:rsidRPr="001570AB">
        <w:rPr>
          <w:bCs/>
        </w:rPr>
        <w:t xml:space="preserve">A pressure of </w:t>
      </w:r>
      <w:r w:rsidRPr="00D32187">
        <w:rPr>
          <w:b/>
          <w:bCs/>
        </w:rPr>
        <w:t>£3.180m</w:t>
      </w:r>
      <w:r w:rsidR="00F04E04">
        <w:rPr>
          <w:bCs/>
        </w:rPr>
        <w:t xml:space="preserve"> </w:t>
      </w:r>
      <w:r w:rsidR="00CE10BA">
        <w:rPr>
          <w:bCs/>
        </w:rPr>
        <w:t xml:space="preserve">in </w:t>
      </w:r>
      <w:r w:rsidR="00CE10BA" w:rsidRPr="001570AB">
        <w:rPr>
          <w:bCs/>
        </w:rPr>
        <w:t>Adult</w:t>
      </w:r>
      <w:r w:rsidRPr="001570AB">
        <w:rPr>
          <w:bCs/>
        </w:rPr>
        <w:t xml:space="preserve"> Social Care (including ongoing pressures in relation to DoLs and Mental</w:t>
      </w:r>
      <w:r w:rsidR="007E4FBF">
        <w:rPr>
          <w:bCs/>
        </w:rPr>
        <w:t xml:space="preserve"> Health).  These pressure</w:t>
      </w:r>
      <w:r w:rsidR="00A83B2B">
        <w:rPr>
          <w:bCs/>
        </w:rPr>
        <w:t>s</w:t>
      </w:r>
      <w:r w:rsidR="007E4FBF">
        <w:rPr>
          <w:bCs/>
        </w:rPr>
        <w:t xml:space="preserve"> are</w:t>
      </w:r>
      <w:r w:rsidR="001F1E67">
        <w:rPr>
          <w:bCs/>
        </w:rPr>
        <w:t xml:space="preserve"> largely as a result of:</w:t>
      </w:r>
    </w:p>
    <w:p w14:paraId="162553DB" w14:textId="6F1D1557" w:rsidR="006A6FB1" w:rsidRPr="001570AB" w:rsidRDefault="006A6FB1" w:rsidP="00921D48">
      <w:pPr>
        <w:numPr>
          <w:ilvl w:val="1"/>
          <w:numId w:val="24"/>
        </w:numPr>
        <w:jc w:val="both"/>
        <w:rPr>
          <w:bCs/>
        </w:rPr>
      </w:pPr>
      <w:r w:rsidRPr="001570AB">
        <w:rPr>
          <w:bCs/>
        </w:rPr>
        <w:t xml:space="preserve">Reductions in underlying funding </w:t>
      </w:r>
      <w:r w:rsidR="007E4FBF">
        <w:rPr>
          <w:bCs/>
        </w:rPr>
        <w:t>– the Care Act funding of £1.271</w:t>
      </w:r>
      <w:r w:rsidRPr="001570AB">
        <w:rPr>
          <w:bCs/>
        </w:rPr>
        <w:t>m in 2016</w:t>
      </w:r>
      <w:r w:rsidR="007E4FBF">
        <w:rPr>
          <w:bCs/>
        </w:rPr>
        <w:t>/17</w:t>
      </w:r>
      <w:r w:rsidRPr="001570AB">
        <w:rPr>
          <w:bCs/>
        </w:rPr>
        <w:t xml:space="preserve"> could not be allocated to fund Adult Social Care pressures on an ongoing basis given the wider financial </w:t>
      </w:r>
      <w:r w:rsidRPr="001570AB">
        <w:rPr>
          <w:bCs/>
        </w:rPr>
        <w:lastRenderedPageBreak/>
        <w:t>position and the precept funding was not sufficient to cover the total growth required.</w:t>
      </w:r>
    </w:p>
    <w:p w14:paraId="0CCC335C" w14:textId="563F43A5" w:rsidR="00921D48" w:rsidRDefault="006A6FB1" w:rsidP="00921D48">
      <w:pPr>
        <w:numPr>
          <w:ilvl w:val="1"/>
          <w:numId w:val="24"/>
        </w:numPr>
        <w:jc w:val="both"/>
        <w:rPr>
          <w:bCs/>
        </w:rPr>
      </w:pPr>
      <w:r w:rsidRPr="00FA683C">
        <w:rPr>
          <w:bCs/>
        </w:rPr>
        <w:t xml:space="preserve">Increases in the cost and complexity of placements (including demographic pressures), inflationary uplifts and reduced availability of placements within </w:t>
      </w:r>
      <w:r w:rsidR="00F04E04" w:rsidRPr="00FA683C">
        <w:rPr>
          <w:bCs/>
        </w:rPr>
        <w:t xml:space="preserve">the </w:t>
      </w:r>
      <w:r w:rsidRPr="00FA683C">
        <w:rPr>
          <w:bCs/>
        </w:rPr>
        <w:t>weekly financial envelope, together with a financially chal</w:t>
      </w:r>
      <w:r w:rsidR="00F04E04" w:rsidRPr="00FA683C">
        <w:rPr>
          <w:bCs/>
        </w:rPr>
        <w:t>lenged health economy which has</w:t>
      </w:r>
      <w:r w:rsidRPr="00FA683C">
        <w:rPr>
          <w:bCs/>
        </w:rPr>
        <w:t xml:space="preserve"> a knock on effect on Adult social care ie; hospital discharges. </w:t>
      </w:r>
    </w:p>
    <w:p w14:paraId="54130155" w14:textId="77777777" w:rsidR="00FA683C" w:rsidRPr="00FA683C" w:rsidRDefault="00FA683C" w:rsidP="00FA683C">
      <w:pPr>
        <w:ind w:left="1440"/>
        <w:jc w:val="both"/>
        <w:rPr>
          <w:bCs/>
        </w:rPr>
      </w:pPr>
    </w:p>
    <w:p w14:paraId="10DAFF55" w14:textId="77777777" w:rsidR="00921D48" w:rsidRDefault="006A6FB1" w:rsidP="00FA683C">
      <w:pPr>
        <w:numPr>
          <w:ilvl w:val="0"/>
          <w:numId w:val="24"/>
        </w:numPr>
        <w:ind w:hanging="720"/>
        <w:jc w:val="both"/>
        <w:rPr>
          <w:bCs/>
        </w:rPr>
      </w:pPr>
      <w:r w:rsidRPr="001570AB">
        <w:rPr>
          <w:bCs/>
        </w:rPr>
        <w:t>The directorate is managing MTFS reductions of £3.592m, and a shortfall of approximately £</w:t>
      </w:r>
      <w:r w:rsidRPr="00D32187">
        <w:rPr>
          <w:b/>
          <w:bCs/>
        </w:rPr>
        <w:t>0.995m</w:t>
      </w:r>
      <w:r w:rsidRPr="001570AB">
        <w:rPr>
          <w:bCs/>
        </w:rPr>
        <w:t xml:space="preserve"> (</w:t>
      </w:r>
      <w:r>
        <w:rPr>
          <w:bCs/>
        </w:rPr>
        <w:t xml:space="preserve">including the full year effect of </w:t>
      </w:r>
      <w:r w:rsidRPr="001570AB">
        <w:rPr>
          <w:bCs/>
        </w:rPr>
        <w:t>Kenmore) is forecast from delays in implementing the approved savings.</w:t>
      </w:r>
    </w:p>
    <w:p w14:paraId="19CB33E0" w14:textId="3C82081E" w:rsidR="006A6FB1" w:rsidRPr="001570AB" w:rsidRDefault="006A6FB1" w:rsidP="00FA683C">
      <w:pPr>
        <w:ind w:left="170" w:hanging="170"/>
        <w:jc w:val="both"/>
        <w:rPr>
          <w:bCs/>
        </w:rPr>
      </w:pPr>
      <w:r w:rsidRPr="001570AB">
        <w:rPr>
          <w:bCs/>
        </w:rPr>
        <w:t xml:space="preserve">   </w:t>
      </w:r>
    </w:p>
    <w:p w14:paraId="69F4D385" w14:textId="40CB5D5A" w:rsidR="00F04E04" w:rsidRDefault="006A6FB1" w:rsidP="00FA683C">
      <w:pPr>
        <w:numPr>
          <w:ilvl w:val="0"/>
          <w:numId w:val="24"/>
        </w:numPr>
        <w:ind w:hanging="720"/>
        <w:jc w:val="both"/>
        <w:rPr>
          <w:bCs/>
        </w:rPr>
      </w:pPr>
      <w:r w:rsidRPr="00FA683C">
        <w:rPr>
          <w:bCs/>
        </w:rPr>
        <w:t>Unprecedented lev</w:t>
      </w:r>
      <w:r w:rsidR="00F04E04" w:rsidRPr="00FA683C">
        <w:rPr>
          <w:bCs/>
        </w:rPr>
        <w:t>els of mitigating action</w:t>
      </w:r>
      <w:r w:rsidRPr="00FA683C">
        <w:rPr>
          <w:bCs/>
        </w:rPr>
        <w:t xml:space="preserve"> at </w:t>
      </w:r>
      <w:r w:rsidR="00D32187" w:rsidRPr="00FA683C">
        <w:rPr>
          <w:b/>
          <w:bCs/>
        </w:rPr>
        <w:t>(</w:t>
      </w:r>
      <w:r w:rsidRPr="00FA683C">
        <w:rPr>
          <w:b/>
          <w:bCs/>
        </w:rPr>
        <w:t>£1.775m</w:t>
      </w:r>
      <w:r w:rsidR="00D32187" w:rsidRPr="00FA683C">
        <w:rPr>
          <w:b/>
          <w:bCs/>
        </w:rPr>
        <w:t>)</w:t>
      </w:r>
      <w:r w:rsidR="00F04E04" w:rsidRPr="00FA683C">
        <w:rPr>
          <w:bCs/>
        </w:rPr>
        <w:t xml:space="preserve">, </w:t>
      </w:r>
      <w:r w:rsidRPr="00FA683C">
        <w:rPr>
          <w:bCs/>
        </w:rPr>
        <w:t>includ</w:t>
      </w:r>
      <w:r w:rsidR="00F04E04" w:rsidRPr="00FA683C">
        <w:rPr>
          <w:bCs/>
        </w:rPr>
        <w:t>ing</w:t>
      </w:r>
      <w:r w:rsidRPr="00FA683C">
        <w:rPr>
          <w:bCs/>
        </w:rPr>
        <w:t xml:space="preserve"> spending controls and review of staffing to seek to manage the overall position where possible. </w:t>
      </w:r>
    </w:p>
    <w:p w14:paraId="436115B7" w14:textId="77777777" w:rsidR="00FA683C" w:rsidRDefault="00FA683C" w:rsidP="00FA683C">
      <w:pPr>
        <w:pStyle w:val="ListParagraph"/>
        <w:rPr>
          <w:bCs/>
        </w:rPr>
      </w:pPr>
    </w:p>
    <w:p w14:paraId="5A9B15AD" w14:textId="47D7B247" w:rsidR="006A6FB1" w:rsidRDefault="006A6FB1" w:rsidP="00921D48">
      <w:pPr>
        <w:pStyle w:val="ListParagraph"/>
        <w:numPr>
          <w:ilvl w:val="1"/>
          <w:numId w:val="31"/>
        </w:numPr>
        <w:spacing w:after="240"/>
        <w:ind w:left="833" w:hanging="833"/>
        <w:jc w:val="both"/>
        <w:rPr>
          <w:bCs/>
        </w:rPr>
      </w:pPr>
      <w:r w:rsidRPr="006A6FB1">
        <w:rPr>
          <w:bCs/>
        </w:rPr>
        <w:t>Managing the outturn at this level is proving extremely challenging, with minimal capacity and the competing pressures around supporting mitigation draws staff away from core business.  It is difficult striking a balance between delivering savings and managing the demand, wh</w:t>
      </w:r>
      <w:r w:rsidR="002A03E0">
        <w:rPr>
          <w:bCs/>
        </w:rPr>
        <w:t>ilst continuing to discharge the</w:t>
      </w:r>
      <w:r w:rsidRPr="006A6FB1">
        <w:rPr>
          <w:bCs/>
        </w:rPr>
        <w:t xml:space="preserve"> statutory duty to support the most vulnerable in our community</w:t>
      </w:r>
      <w:r>
        <w:rPr>
          <w:bCs/>
        </w:rPr>
        <w:t>.</w:t>
      </w:r>
    </w:p>
    <w:p w14:paraId="56241C97" w14:textId="71BEE184" w:rsidR="00B63C98" w:rsidRPr="008F21C7" w:rsidRDefault="00B63C98" w:rsidP="004D6EBB">
      <w:pPr>
        <w:pStyle w:val="ListParagraph"/>
        <w:spacing w:after="240"/>
        <w:ind w:left="405" w:firstLine="304"/>
        <w:jc w:val="both"/>
        <w:rPr>
          <w:rFonts w:cs="Arial"/>
          <w:szCs w:val="24"/>
          <w:u w:val="single"/>
        </w:rPr>
      </w:pPr>
      <w:r w:rsidRPr="008F21C7">
        <w:rPr>
          <w:rFonts w:cs="Arial"/>
          <w:szCs w:val="24"/>
          <w:u w:val="single"/>
        </w:rPr>
        <w:t>C</w:t>
      </w:r>
      <w:r w:rsidR="006A0E09" w:rsidRPr="008F21C7">
        <w:rPr>
          <w:rFonts w:cs="Arial"/>
          <w:szCs w:val="24"/>
          <w:u w:val="single"/>
        </w:rPr>
        <w:t>hildren</w:t>
      </w:r>
      <w:r w:rsidRPr="008F21C7">
        <w:rPr>
          <w:rFonts w:cs="Arial"/>
          <w:szCs w:val="24"/>
          <w:u w:val="single"/>
        </w:rPr>
        <w:t>’</w:t>
      </w:r>
      <w:r w:rsidR="006A0E09" w:rsidRPr="008F21C7">
        <w:rPr>
          <w:rFonts w:cs="Arial"/>
          <w:szCs w:val="24"/>
          <w:u w:val="single"/>
        </w:rPr>
        <w:t>s</w:t>
      </w:r>
      <w:r w:rsidRPr="008F21C7">
        <w:rPr>
          <w:rFonts w:cs="Arial"/>
          <w:szCs w:val="24"/>
          <w:u w:val="single"/>
        </w:rPr>
        <w:t xml:space="preserve"> S</w:t>
      </w:r>
      <w:r w:rsidR="006A0E09" w:rsidRPr="008F21C7">
        <w:rPr>
          <w:rFonts w:cs="Arial"/>
          <w:szCs w:val="24"/>
          <w:u w:val="single"/>
        </w:rPr>
        <w:t>ervices</w:t>
      </w:r>
    </w:p>
    <w:p w14:paraId="2219B9DF" w14:textId="253732A8" w:rsidR="001305E1" w:rsidRDefault="00A83B2B" w:rsidP="001F1E67">
      <w:pPr>
        <w:pStyle w:val="ListParagraph"/>
        <w:numPr>
          <w:ilvl w:val="1"/>
          <w:numId w:val="31"/>
        </w:numPr>
        <w:spacing w:after="120"/>
        <w:ind w:left="709" w:hanging="709"/>
        <w:jc w:val="both"/>
        <w:rPr>
          <w:rFonts w:cs="Arial"/>
          <w:szCs w:val="24"/>
        </w:rPr>
      </w:pPr>
      <w:r>
        <w:rPr>
          <w:rFonts w:cs="Arial"/>
          <w:szCs w:val="24"/>
        </w:rPr>
        <w:t xml:space="preserve">As at Quarter </w:t>
      </w:r>
      <w:r w:rsidR="001305E1" w:rsidRPr="001305E1">
        <w:rPr>
          <w:rFonts w:cs="Arial"/>
          <w:szCs w:val="24"/>
        </w:rPr>
        <w:t>2 the headline pressures total</w:t>
      </w:r>
      <w:r w:rsidR="002A03E0">
        <w:rPr>
          <w:rFonts w:cs="Arial"/>
          <w:szCs w:val="24"/>
        </w:rPr>
        <w:t>s</w:t>
      </w:r>
      <w:r w:rsidR="001305E1" w:rsidRPr="001305E1">
        <w:rPr>
          <w:rFonts w:cs="Arial"/>
          <w:szCs w:val="24"/>
        </w:rPr>
        <w:t xml:space="preserve"> £4.667m. This reduces to a net report</w:t>
      </w:r>
      <w:r w:rsidR="002A03E0">
        <w:rPr>
          <w:rFonts w:cs="Arial"/>
          <w:szCs w:val="24"/>
        </w:rPr>
        <w:t>ed overspend for the division</w:t>
      </w:r>
      <w:r w:rsidR="001305E1" w:rsidRPr="001305E1">
        <w:rPr>
          <w:rFonts w:cs="Arial"/>
          <w:szCs w:val="24"/>
        </w:rPr>
        <w:t xml:space="preserve"> of £2.821m after the use of one off management </w:t>
      </w:r>
      <w:r w:rsidR="002A03E0">
        <w:rPr>
          <w:rFonts w:cs="Arial"/>
          <w:szCs w:val="24"/>
        </w:rPr>
        <w:t xml:space="preserve">and reserve </w:t>
      </w:r>
      <w:r w:rsidR="001305E1" w:rsidRPr="001305E1">
        <w:rPr>
          <w:rFonts w:cs="Arial"/>
          <w:szCs w:val="24"/>
        </w:rPr>
        <w:t>actions totalling £1.846m.</w:t>
      </w:r>
    </w:p>
    <w:p w14:paraId="571B9E3D" w14:textId="4F01265A" w:rsidR="00D32187" w:rsidRDefault="00D32187" w:rsidP="00F650D7">
      <w:pPr>
        <w:pStyle w:val="ListParagraph"/>
        <w:numPr>
          <w:ilvl w:val="1"/>
          <w:numId w:val="31"/>
        </w:numPr>
        <w:ind w:left="709" w:hanging="709"/>
        <w:jc w:val="both"/>
        <w:rPr>
          <w:rFonts w:cs="Arial"/>
          <w:szCs w:val="24"/>
        </w:rPr>
      </w:pPr>
      <w:r w:rsidRPr="008D06CF">
        <w:rPr>
          <w:rFonts w:cs="Arial"/>
          <w:szCs w:val="24"/>
        </w:rPr>
        <w:t>The net increase in pressure of £1.222m</w:t>
      </w:r>
      <w:r w:rsidR="00A83B2B">
        <w:rPr>
          <w:rFonts w:cs="Arial"/>
          <w:szCs w:val="24"/>
        </w:rPr>
        <w:t xml:space="preserve"> from the position reported at Quarter</w:t>
      </w:r>
      <w:r w:rsidRPr="008D06CF">
        <w:rPr>
          <w:rFonts w:cs="Arial"/>
          <w:szCs w:val="24"/>
        </w:rPr>
        <w:t>1 is as follows:</w:t>
      </w:r>
    </w:p>
    <w:p w14:paraId="1F6829D5" w14:textId="77777777" w:rsidR="008D06CF" w:rsidRPr="008D06CF" w:rsidRDefault="008D06CF" w:rsidP="008D06CF">
      <w:pPr>
        <w:pStyle w:val="ListParagraph"/>
        <w:ind w:left="709"/>
        <w:jc w:val="both"/>
        <w:rPr>
          <w:rFonts w:cs="Arial"/>
          <w:szCs w:val="24"/>
        </w:rPr>
      </w:pPr>
    </w:p>
    <w:p w14:paraId="2D7F410A" w14:textId="77777777" w:rsidR="00D32187" w:rsidRPr="00D32187" w:rsidRDefault="00D32187" w:rsidP="001F1E67">
      <w:pPr>
        <w:pStyle w:val="ListParagraph"/>
        <w:numPr>
          <w:ilvl w:val="1"/>
          <w:numId w:val="31"/>
        </w:numPr>
        <w:spacing w:after="120"/>
        <w:ind w:left="709" w:hanging="709"/>
        <w:jc w:val="both"/>
        <w:rPr>
          <w:rFonts w:cs="Arial"/>
          <w:b/>
          <w:szCs w:val="24"/>
        </w:rPr>
      </w:pPr>
      <w:r w:rsidRPr="00D32187">
        <w:rPr>
          <w:rFonts w:cs="Arial"/>
          <w:b/>
          <w:szCs w:val="24"/>
        </w:rPr>
        <w:t xml:space="preserve">Children’s Placements Increased Pressure £828k – </w:t>
      </w:r>
      <w:r w:rsidRPr="00D32187">
        <w:rPr>
          <w:rFonts w:cs="Arial"/>
          <w:szCs w:val="24"/>
        </w:rPr>
        <w:t>There has been an additional two high cost residential placements and six additional external fostering placements including one high cost mother and baby placement.</w:t>
      </w:r>
    </w:p>
    <w:p w14:paraId="05EEE1CC" w14:textId="7F51753B" w:rsidR="00D32187" w:rsidRPr="00D32187" w:rsidRDefault="00D32187" w:rsidP="001F1E67">
      <w:pPr>
        <w:pStyle w:val="ListParagraph"/>
        <w:numPr>
          <w:ilvl w:val="1"/>
          <w:numId w:val="31"/>
        </w:numPr>
        <w:spacing w:after="120"/>
        <w:ind w:left="709" w:hanging="709"/>
        <w:jc w:val="both"/>
        <w:rPr>
          <w:rFonts w:cs="Arial"/>
          <w:b/>
          <w:szCs w:val="24"/>
        </w:rPr>
      </w:pPr>
      <w:r w:rsidRPr="00D32187">
        <w:rPr>
          <w:rFonts w:cs="Arial"/>
          <w:b/>
          <w:szCs w:val="24"/>
        </w:rPr>
        <w:t xml:space="preserve">Families with No Recourse to Public Funds Increased Pressure </w:t>
      </w:r>
      <w:r w:rsidR="00F04E04">
        <w:rPr>
          <w:rFonts w:cs="Arial"/>
          <w:b/>
          <w:szCs w:val="24"/>
        </w:rPr>
        <w:t xml:space="preserve">of </w:t>
      </w:r>
      <w:r w:rsidR="00B57AF0">
        <w:rPr>
          <w:rFonts w:cs="Arial"/>
          <w:b/>
          <w:szCs w:val="24"/>
        </w:rPr>
        <w:t xml:space="preserve">£85k </w:t>
      </w:r>
      <w:r w:rsidRPr="00D32187">
        <w:rPr>
          <w:rFonts w:cs="Arial"/>
          <w:b/>
          <w:szCs w:val="24"/>
        </w:rPr>
        <w:t>–</w:t>
      </w:r>
      <w:r w:rsidRPr="00D32187">
        <w:rPr>
          <w:rFonts w:cs="Arial"/>
          <w:szCs w:val="24"/>
        </w:rPr>
        <w:t xml:space="preserve"> There has been an increase in volumes and costs of families with no recourse to public funds.</w:t>
      </w:r>
    </w:p>
    <w:p w14:paraId="3858F553" w14:textId="5AB8879C" w:rsidR="00D32187" w:rsidRPr="00D32187" w:rsidRDefault="00D32187" w:rsidP="001F1E67">
      <w:pPr>
        <w:pStyle w:val="ListParagraph"/>
        <w:numPr>
          <w:ilvl w:val="1"/>
          <w:numId w:val="31"/>
        </w:numPr>
        <w:spacing w:after="120"/>
        <w:ind w:left="709" w:hanging="709"/>
        <w:jc w:val="both"/>
        <w:rPr>
          <w:rFonts w:cs="Arial"/>
          <w:b/>
          <w:szCs w:val="24"/>
        </w:rPr>
      </w:pPr>
      <w:r w:rsidRPr="00D32187">
        <w:rPr>
          <w:rFonts w:cs="Arial"/>
          <w:b/>
          <w:szCs w:val="24"/>
        </w:rPr>
        <w:t xml:space="preserve">Special Needs </w:t>
      </w:r>
      <w:r w:rsidR="00043F86" w:rsidRPr="00D32187">
        <w:rPr>
          <w:rFonts w:cs="Arial"/>
          <w:b/>
          <w:szCs w:val="24"/>
        </w:rPr>
        <w:t>Transport Increased</w:t>
      </w:r>
      <w:r w:rsidRPr="00D32187">
        <w:rPr>
          <w:rFonts w:cs="Arial"/>
          <w:b/>
          <w:szCs w:val="24"/>
        </w:rPr>
        <w:t xml:space="preserve"> Pressure £76k – </w:t>
      </w:r>
      <w:r w:rsidRPr="00D32187">
        <w:rPr>
          <w:rFonts w:cs="Arial"/>
          <w:szCs w:val="24"/>
        </w:rPr>
        <w:t>Resulting from changes in the new academic year.</w:t>
      </w:r>
    </w:p>
    <w:p w14:paraId="47C83D0E" w14:textId="32D1BC06" w:rsidR="00D32187" w:rsidRPr="00D32187" w:rsidRDefault="00D32187" w:rsidP="001F1E67">
      <w:pPr>
        <w:pStyle w:val="ListParagraph"/>
        <w:numPr>
          <w:ilvl w:val="1"/>
          <w:numId w:val="31"/>
        </w:numPr>
        <w:spacing w:after="120"/>
        <w:ind w:left="709" w:hanging="709"/>
        <w:jc w:val="both"/>
        <w:rPr>
          <w:rFonts w:cs="Arial"/>
          <w:szCs w:val="24"/>
        </w:rPr>
      </w:pPr>
      <w:r w:rsidRPr="00D32187">
        <w:rPr>
          <w:rFonts w:cs="Arial"/>
          <w:b/>
          <w:szCs w:val="24"/>
        </w:rPr>
        <w:t xml:space="preserve">Children and Young People’s Staffing £152k Increased Pressure </w:t>
      </w:r>
      <w:r w:rsidRPr="00D32187">
        <w:rPr>
          <w:rFonts w:cs="Arial"/>
          <w:szCs w:val="24"/>
        </w:rPr>
        <w:t>There is an increase in pressure of £152k due to two posts previously assumed to be funded by the Housing Revenue Account totalling £102k which have now been brought into the revenue forecast and £50k due to additional sickness and maternity cover.</w:t>
      </w:r>
    </w:p>
    <w:p w14:paraId="67DB1BFF" w14:textId="0B78B818" w:rsidR="00D32187" w:rsidRDefault="00D32187" w:rsidP="001F1E67">
      <w:pPr>
        <w:pStyle w:val="ListParagraph"/>
        <w:numPr>
          <w:ilvl w:val="1"/>
          <w:numId w:val="31"/>
        </w:numPr>
        <w:spacing w:after="120"/>
        <w:ind w:left="709" w:hanging="709"/>
        <w:jc w:val="both"/>
        <w:rPr>
          <w:rFonts w:cs="Arial"/>
          <w:b/>
          <w:szCs w:val="24"/>
        </w:rPr>
      </w:pPr>
      <w:r w:rsidRPr="00D32187">
        <w:rPr>
          <w:rFonts w:cs="Arial"/>
          <w:szCs w:val="24"/>
        </w:rPr>
        <w:t xml:space="preserve">Other increased pressures across the directorate </w:t>
      </w:r>
      <w:r w:rsidR="00673E50">
        <w:rPr>
          <w:rFonts w:cs="Arial"/>
          <w:szCs w:val="24"/>
        </w:rPr>
        <w:t xml:space="preserve">of </w:t>
      </w:r>
      <w:r w:rsidRPr="00D32187">
        <w:rPr>
          <w:rFonts w:cs="Arial"/>
          <w:szCs w:val="24"/>
        </w:rPr>
        <w:t>£81k</w:t>
      </w:r>
      <w:r w:rsidRPr="00D32187">
        <w:rPr>
          <w:rFonts w:cs="Arial"/>
          <w:b/>
          <w:szCs w:val="24"/>
        </w:rPr>
        <w:t>.</w:t>
      </w:r>
    </w:p>
    <w:p w14:paraId="5F3C0FCC" w14:textId="286FCB14" w:rsidR="00043F86" w:rsidRDefault="00043F86" w:rsidP="001F1E67">
      <w:pPr>
        <w:pStyle w:val="ListParagraph"/>
        <w:numPr>
          <w:ilvl w:val="1"/>
          <w:numId w:val="31"/>
        </w:numPr>
        <w:spacing w:after="120"/>
        <w:ind w:left="709" w:hanging="709"/>
        <w:jc w:val="both"/>
        <w:rPr>
          <w:rFonts w:cs="Arial"/>
          <w:b/>
          <w:szCs w:val="24"/>
        </w:rPr>
      </w:pPr>
      <w:r w:rsidRPr="00043F86">
        <w:rPr>
          <w:rFonts w:cs="Arial"/>
          <w:szCs w:val="24"/>
        </w:rPr>
        <w:t>The</w:t>
      </w:r>
      <w:r w:rsidR="0059016D">
        <w:rPr>
          <w:rFonts w:cs="Arial"/>
          <w:szCs w:val="24"/>
        </w:rPr>
        <w:t xml:space="preserve"> net </w:t>
      </w:r>
      <w:r w:rsidRPr="00043F86">
        <w:rPr>
          <w:rFonts w:cs="Arial"/>
          <w:szCs w:val="24"/>
        </w:rPr>
        <w:t xml:space="preserve">overspend position of </w:t>
      </w:r>
      <w:r w:rsidRPr="0059016D">
        <w:rPr>
          <w:rFonts w:cs="Arial"/>
          <w:b/>
          <w:szCs w:val="24"/>
        </w:rPr>
        <w:t>£2.821</w:t>
      </w:r>
      <w:r w:rsidR="0059016D" w:rsidRPr="0059016D">
        <w:rPr>
          <w:rFonts w:cs="Arial"/>
          <w:b/>
          <w:szCs w:val="24"/>
        </w:rPr>
        <w:t>m</w:t>
      </w:r>
      <w:r w:rsidRPr="00043F86">
        <w:rPr>
          <w:rFonts w:cs="Arial"/>
          <w:szCs w:val="24"/>
        </w:rPr>
        <w:t xml:space="preserve"> is deta</w:t>
      </w:r>
      <w:r w:rsidR="0059016D">
        <w:rPr>
          <w:rFonts w:cs="Arial"/>
          <w:szCs w:val="24"/>
        </w:rPr>
        <w:t>iled</w:t>
      </w:r>
      <w:r w:rsidRPr="00043F86">
        <w:rPr>
          <w:rFonts w:cs="Arial"/>
          <w:szCs w:val="24"/>
        </w:rPr>
        <w:t xml:space="preserve"> as follows</w:t>
      </w:r>
      <w:r>
        <w:rPr>
          <w:rFonts w:cs="Arial"/>
          <w:b/>
          <w:szCs w:val="24"/>
        </w:rPr>
        <w:t>:</w:t>
      </w:r>
    </w:p>
    <w:p w14:paraId="494B9890" w14:textId="732719C1" w:rsidR="0065358C" w:rsidRPr="001305E1" w:rsidRDefault="00043F86" w:rsidP="00E20900">
      <w:pPr>
        <w:pStyle w:val="ListParagraph"/>
        <w:numPr>
          <w:ilvl w:val="1"/>
          <w:numId w:val="31"/>
        </w:numPr>
        <w:spacing w:after="120"/>
        <w:ind w:left="709" w:hanging="709"/>
        <w:jc w:val="both"/>
      </w:pPr>
      <w:r w:rsidRPr="007475D5">
        <w:rPr>
          <w:b/>
        </w:rPr>
        <w:lastRenderedPageBreak/>
        <w:t xml:space="preserve">Special Needs Transport £1.192m </w:t>
      </w:r>
      <w:r w:rsidR="009E708C" w:rsidRPr="007475D5">
        <w:rPr>
          <w:b/>
        </w:rPr>
        <w:t>overspends</w:t>
      </w:r>
      <w:r w:rsidRPr="007475D5">
        <w:rPr>
          <w:b/>
        </w:rPr>
        <w:t xml:space="preserve"> –</w:t>
      </w:r>
      <w:r w:rsidRPr="00043F86">
        <w:t xml:space="preserve"> </w:t>
      </w:r>
      <w:r w:rsidR="00D42F5C" w:rsidRPr="00D42F5C">
        <w:t>Special Needs Transport underwent a significant review in 2014/15 with a view to achieving a £0.570m savings target. It was only possible to meet approximately half of this savings target due in main to contract prices being higher than anticipated. In addition savings of £257k in 2016-17 have also not been achieved which were largely due to a review of eligibility and a number of other actions which have been undertaken. However, it is not yet apparent that any significant savings can be achieved to drive down the existing pressure. These contribute to part of the overspend</w:t>
      </w:r>
      <w:r w:rsidR="009E708C">
        <w:t xml:space="preserve">s. </w:t>
      </w:r>
      <w:r w:rsidRPr="00043F86">
        <w:t xml:space="preserve">There has </w:t>
      </w:r>
      <w:r w:rsidR="009E708C">
        <w:t xml:space="preserve">also </w:t>
      </w:r>
      <w:r w:rsidRPr="00043F86">
        <w:t>been an increase in demand, particularly for transport from home to school as the SEND reforms that extends special educational provision to age 25 years has led to an increased number of young adults with complex needs continuing in education</w:t>
      </w:r>
      <w:r>
        <w:rPr>
          <w:b/>
        </w:rPr>
        <w:t>.</w:t>
      </w:r>
    </w:p>
    <w:p w14:paraId="27059F8C" w14:textId="7D80FAF3" w:rsidR="00043F86" w:rsidRDefault="00AB61C6" w:rsidP="001F1E67">
      <w:pPr>
        <w:spacing w:after="120"/>
        <w:ind w:left="709" w:hanging="709"/>
        <w:jc w:val="both"/>
        <w:rPr>
          <w:b/>
        </w:rPr>
      </w:pPr>
      <w:r>
        <w:t>2.26</w:t>
      </w:r>
      <w:r w:rsidR="00690DE0">
        <w:rPr>
          <w:b/>
        </w:rPr>
        <w:tab/>
      </w:r>
      <w:r w:rsidR="00043F86" w:rsidRPr="007475D5">
        <w:rPr>
          <w:b/>
        </w:rPr>
        <w:t>Children’s Placements £1.501m overspend</w:t>
      </w:r>
      <w:r w:rsidR="00043F86" w:rsidRPr="00043F86">
        <w:t xml:space="preserve"> </w:t>
      </w:r>
      <w:r w:rsidR="00043F86" w:rsidRPr="007475D5">
        <w:rPr>
          <w:b/>
        </w:rPr>
        <w:t>–</w:t>
      </w:r>
      <w:r w:rsidR="004A65BF">
        <w:t xml:space="preserve"> The </w:t>
      </w:r>
      <w:r w:rsidR="00043F86" w:rsidRPr="00043F86">
        <w:t>overspend mainly results from an increase in the number of children in high cost residential placements. A number of these placements have been needed in response to significant risks relating to child sexual exploitation and gangs involvement.</w:t>
      </w:r>
    </w:p>
    <w:p w14:paraId="4EE7B799" w14:textId="0952DB54" w:rsidR="002C36A3" w:rsidRPr="00043F86" w:rsidRDefault="00043F86" w:rsidP="00F650D7">
      <w:pPr>
        <w:pStyle w:val="ListParagraph"/>
        <w:numPr>
          <w:ilvl w:val="1"/>
          <w:numId w:val="17"/>
        </w:numPr>
        <w:suppressAutoHyphens/>
        <w:spacing w:after="120"/>
        <w:ind w:left="709" w:hanging="709"/>
        <w:jc w:val="both"/>
      </w:pPr>
      <w:r w:rsidRPr="00E20900">
        <w:rPr>
          <w:b/>
        </w:rPr>
        <w:t xml:space="preserve">Children and Young People’s </w:t>
      </w:r>
      <w:r w:rsidR="0059016D" w:rsidRPr="00E20900">
        <w:rPr>
          <w:b/>
        </w:rPr>
        <w:t>staffing</w:t>
      </w:r>
      <w:r w:rsidRPr="00E20900">
        <w:rPr>
          <w:b/>
        </w:rPr>
        <w:t xml:space="preserve"> £1.314m overspend – </w:t>
      </w:r>
      <w:r w:rsidRPr="00043F86">
        <w:t xml:space="preserve">The volume of referrals from the police to the Multi Agency Safeguarding Hub have gone up by 37%, many of these referrals are about domestic abuse and risk. In addition the </w:t>
      </w:r>
      <w:r w:rsidR="0059016D" w:rsidRPr="00043F86">
        <w:t>volume of referrals linked to homelessness has</w:t>
      </w:r>
      <w:r w:rsidRPr="00043F86">
        <w:t xml:space="preserve"> gone up significantly and means that children are particularly vulnerable in temporary housing. The number of children on child protection plans have gone up by 20% and this includes all forms of abuse especially neglect. A growth bid for additional social work posts in 2017/18 is to be submitted.</w:t>
      </w:r>
    </w:p>
    <w:p w14:paraId="7D7B3699" w14:textId="6BA7536E" w:rsidR="00E20900" w:rsidRPr="00E20900" w:rsidRDefault="00043F86" w:rsidP="00E20900">
      <w:pPr>
        <w:pStyle w:val="ListParagraph"/>
        <w:numPr>
          <w:ilvl w:val="1"/>
          <w:numId w:val="17"/>
        </w:numPr>
        <w:suppressAutoHyphens/>
        <w:spacing w:after="120"/>
        <w:ind w:left="709" w:hanging="709"/>
        <w:jc w:val="both"/>
        <w:rPr>
          <w:b/>
        </w:rPr>
      </w:pPr>
      <w:r w:rsidRPr="00E20900">
        <w:rPr>
          <w:b/>
        </w:rPr>
        <w:t xml:space="preserve">Families with No Recourse to Public Funds £0.674m overspend </w:t>
      </w:r>
      <w:r w:rsidRPr="00043F86">
        <w:t>These families are being supported by the council because they have no recourse to public funds. 1.5 FTE bespoke workers have been recruited to focus specifically on these families to help reduce costs and mitigate the financial pressures on this budget. These workers are currently supporting a total of 17 cases. 9 cases have been successfully closed which has mitigated what would have been an even greater pressure.</w:t>
      </w:r>
    </w:p>
    <w:p w14:paraId="2D76CA7E" w14:textId="03131101" w:rsidR="002C36A3" w:rsidRPr="00E20900" w:rsidRDefault="00043F86" w:rsidP="00F650D7">
      <w:pPr>
        <w:pStyle w:val="ListParagraph"/>
        <w:numPr>
          <w:ilvl w:val="1"/>
          <w:numId w:val="17"/>
        </w:numPr>
        <w:suppressAutoHyphens/>
        <w:spacing w:after="120"/>
        <w:ind w:left="709" w:hanging="709"/>
        <w:jc w:val="both"/>
        <w:rPr>
          <w:b/>
        </w:rPr>
      </w:pPr>
      <w:r w:rsidRPr="00E20900">
        <w:rPr>
          <w:b/>
        </w:rPr>
        <w:t xml:space="preserve">Business Support Staffing in Children’s Services £323k overspend – </w:t>
      </w:r>
      <w:r w:rsidRPr="00043F86">
        <w:t xml:space="preserve">The model of practice within Children’s Services is to integrate business support throughout the children’s pathway. These are specialist posts supporting social work pods, and the specialist panels e.g. Adoption Panel which </w:t>
      </w:r>
      <w:r w:rsidR="0059016D" w:rsidRPr="00043F86">
        <w:t>supports</w:t>
      </w:r>
      <w:r w:rsidRPr="00043F86">
        <w:t xml:space="preserve"> the multiple statutory functions throughout Children’s Services. The rise in demand in Children’s Services which has resulted in additional social workers as set out above has also increased the requirement for additional business support staff.</w:t>
      </w:r>
    </w:p>
    <w:p w14:paraId="10DC9536" w14:textId="71D46E03" w:rsidR="00D74E6F" w:rsidRDefault="00D74E6F" w:rsidP="00F650D7">
      <w:pPr>
        <w:pStyle w:val="ListParagraph"/>
        <w:numPr>
          <w:ilvl w:val="1"/>
          <w:numId w:val="17"/>
        </w:numPr>
        <w:spacing w:after="240"/>
        <w:ind w:left="709" w:hanging="709"/>
        <w:jc w:val="both"/>
        <w:rPr>
          <w:rFonts w:cs="Arial"/>
          <w:szCs w:val="24"/>
        </w:rPr>
      </w:pPr>
      <w:r w:rsidRPr="00D74E6F">
        <w:rPr>
          <w:rFonts w:cs="Arial"/>
          <w:szCs w:val="24"/>
        </w:rPr>
        <w:t xml:space="preserve">These pressures are partially offset by use of one off children’s earmarked reserves and one off management actions totalling </w:t>
      </w:r>
      <w:r w:rsidR="009C512C">
        <w:rPr>
          <w:rFonts w:cs="Arial"/>
          <w:szCs w:val="24"/>
        </w:rPr>
        <w:t>(</w:t>
      </w:r>
      <w:r w:rsidRPr="00D74E6F">
        <w:rPr>
          <w:rFonts w:cs="Arial"/>
          <w:szCs w:val="24"/>
        </w:rPr>
        <w:t>£1.846m</w:t>
      </w:r>
      <w:r w:rsidR="009C512C">
        <w:rPr>
          <w:rFonts w:cs="Arial"/>
          <w:szCs w:val="24"/>
        </w:rPr>
        <w:t>)</w:t>
      </w:r>
      <w:r w:rsidRPr="00D74E6F">
        <w:rPr>
          <w:rFonts w:cs="Arial"/>
          <w:szCs w:val="24"/>
        </w:rPr>
        <w:t xml:space="preserve"> together with on-going centrally held management actions totalling </w:t>
      </w:r>
      <w:r w:rsidR="009C512C">
        <w:rPr>
          <w:rFonts w:cs="Arial"/>
          <w:szCs w:val="24"/>
        </w:rPr>
        <w:t>(</w:t>
      </w:r>
      <w:r w:rsidRPr="00D74E6F">
        <w:rPr>
          <w:rFonts w:cs="Arial"/>
          <w:szCs w:val="24"/>
        </w:rPr>
        <w:t>£337k</w:t>
      </w:r>
      <w:r w:rsidR="009C512C">
        <w:rPr>
          <w:rFonts w:cs="Arial"/>
          <w:szCs w:val="24"/>
        </w:rPr>
        <w:t>)</w:t>
      </w:r>
      <w:r>
        <w:rPr>
          <w:rFonts w:cs="Arial"/>
          <w:szCs w:val="24"/>
        </w:rPr>
        <w:t>.</w:t>
      </w:r>
    </w:p>
    <w:p w14:paraId="0E0A1572" w14:textId="77777777" w:rsidR="00C85CF6" w:rsidRDefault="00C85CF6" w:rsidP="00F650D7">
      <w:pPr>
        <w:spacing w:after="200" w:line="276" w:lineRule="auto"/>
        <w:ind w:firstLine="709"/>
        <w:jc w:val="both"/>
        <w:rPr>
          <w:u w:val="single"/>
        </w:rPr>
      </w:pPr>
    </w:p>
    <w:p w14:paraId="797D79A4" w14:textId="34C3A603" w:rsidR="00D74E6F" w:rsidRPr="002C36A3" w:rsidRDefault="00D74E6F" w:rsidP="00F650D7">
      <w:pPr>
        <w:spacing w:after="200" w:line="276" w:lineRule="auto"/>
        <w:ind w:firstLine="709"/>
        <w:jc w:val="both"/>
        <w:rPr>
          <w:u w:val="single"/>
        </w:rPr>
      </w:pPr>
      <w:r w:rsidRPr="002C36A3">
        <w:rPr>
          <w:u w:val="single"/>
        </w:rPr>
        <w:lastRenderedPageBreak/>
        <w:t xml:space="preserve">Dedicated School Grant </w:t>
      </w:r>
    </w:p>
    <w:p w14:paraId="6AE1614D" w14:textId="77777777" w:rsidR="00E20900" w:rsidRPr="00E20900" w:rsidRDefault="00D74E6F" w:rsidP="001F1E67">
      <w:pPr>
        <w:pStyle w:val="ListParagraph"/>
        <w:numPr>
          <w:ilvl w:val="0"/>
          <w:numId w:val="20"/>
        </w:numPr>
        <w:spacing w:after="120" w:line="276" w:lineRule="auto"/>
        <w:ind w:hanging="720"/>
        <w:jc w:val="both"/>
      </w:pPr>
      <w:r w:rsidRPr="00E20900">
        <w:rPr>
          <w:rFonts w:cs="Arial"/>
          <w:szCs w:val="24"/>
        </w:rPr>
        <w:t>The total notified DSG budget at Q2 is £130.757m. This is an increase from Q1 of £485k in respect of an increase for the number of participating children for Early Years from the census for January 2016. There is an anticipated pressure on the DSG in 2016-17 totalling £0.899m.</w:t>
      </w:r>
    </w:p>
    <w:p w14:paraId="56AE0137" w14:textId="40732180" w:rsidR="00D74E6F" w:rsidRDefault="00D74E6F" w:rsidP="001F1E67">
      <w:pPr>
        <w:pStyle w:val="ListParagraph"/>
        <w:numPr>
          <w:ilvl w:val="0"/>
          <w:numId w:val="20"/>
        </w:numPr>
        <w:spacing w:after="120" w:line="276" w:lineRule="auto"/>
        <w:ind w:hanging="720"/>
        <w:jc w:val="both"/>
      </w:pPr>
      <w:r w:rsidRPr="00E20900">
        <w:rPr>
          <w:b/>
        </w:rPr>
        <w:t>Early Years £32k overspend</w:t>
      </w:r>
      <w:r>
        <w:t xml:space="preserve"> – due to an increase in participating 2 year olds where the fund</w:t>
      </w:r>
      <w:r w:rsidR="00A83B2B">
        <w:t>ing ha</w:t>
      </w:r>
      <w:r>
        <w:t>s lagged</w:t>
      </w:r>
      <w:r w:rsidR="001F1E67">
        <w:t>.</w:t>
      </w:r>
    </w:p>
    <w:p w14:paraId="6C717006" w14:textId="2211F8A3" w:rsidR="00D74E6F" w:rsidRDefault="00D74E6F" w:rsidP="001F1E67">
      <w:pPr>
        <w:numPr>
          <w:ilvl w:val="0"/>
          <w:numId w:val="20"/>
        </w:numPr>
        <w:spacing w:after="120" w:line="276" w:lineRule="auto"/>
        <w:ind w:hanging="720"/>
        <w:jc w:val="both"/>
      </w:pPr>
      <w:r w:rsidRPr="00B51EB9">
        <w:rPr>
          <w:b/>
        </w:rPr>
        <w:t>High Needs £1.088m overspend</w:t>
      </w:r>
      <w:r>
        <w:t xml:space="preserve"> – due to an increase in demand and complexity and the change in age range to 0-25 year olds in relation to the SEND reforms</w:t>
      </w:r>
      <w:r w:rsidR="001F1E67">
        <w:t>.</w:t>
      </w:r>
    </w:p>
    <w:p w14:paraId="633C5D1D" w14:textId="77777777" w:rsidR="00E20900" w:rsidRDefault="00D74E6F" w:rsidP="008D06CF">
      <w:pPr>
        <w:numPr>
          <w:ilvl w:val="0"/>
          <w:numId w:val="20"/>
        </w:numPr>
        <w:spacing w:after="240" w:line="276" w:lineRule="auto"/>
        <w:ind w:hanging="720"/>
        <w:jc w:val="both"/>
      </w:pPr>
      <w:r w:rsidRPr="00E20900">
        <w:rPr>
          <w:b/>
        </w:rPr>
        <w:t>Central Fund £230k underspend</w:t>
      </w:r>
      <w:r>
        <w:t xml:space="preserve"> – due to a reduction in the number of bu</w:t>
      </w:r>
      <w:r w:rsidR="00E20900">
        <w:t>lge classes required in 2016-17.</w:t>
      </w:r>
    </w:p>
    <w:p w14:paraId="05034347" w14:textId="1DCD15D4" w:rsidR="009E708C" w:rsidRPr="009E708C" w:rsidRDefault="00E20900" w:rsidP="008D06CF">
      <w:pPr>
        <w:numPr>
          <w:ilvl w:val="0"/>
          <w:numId w:val="20"/>
        </w:numPr>
        <w:spacing w:after="240" w:line="276" w:lineRule="auto"/>
        <w:ind w:hanging="720"/>
        <w:jc w:val="both"/>
      </w:pPr>
      <w:r>
        <w:t>A</w:t>
      </w:r>
      <w:r w:rsidR="009E708C" w:rsidRPr="009E708C">
        <w:t>ny DSG overspend will be funded from an uncommitted brought forward schools contingency balance of £2.091m</w:t>
      </w:r>
      <w:r w:rsidR="009E708C">
        <w:t>.</w:t>
      </w:r>
    </w:p>
    <w:p w14:paraId="2BE9F9DD" w14:textId="77777777" w:rsidR="00B63C98" w:rsidRPr="002C36A3" w:rsidRDefault="00B63C98" w:rsidP="00F650D7">
      <w:pPr>
        <w:spacing w:after="240"/>
        <w:ind w:firstLine="709"/>
        <w:jc w:val="both"/>
        <w:rPr>
          <w:rFonts w:cs="Arial"/>
          <w:szCs w:val="24"/>
          <w:u w:val="single"/>
        </w:rPr>
      </w:pPr>
      <w:r w:rsidRPr="002C36A3">
        <w:rPr>
          <w:rFonts w:cs="Arial"/>
          <w:szCs w:val="24"/>
          <w:u w:val="single"/>
        </w:rPr>
        <w:t>P</w:t>
      </w:r>
      <w:r w:rsidR="007E71BD" w:rsidRPr="002C36A3">
        <w:rPr>
          <w:rFonts w:cs="Arial"/>
          <w:szCs w:val="24"/>
          <w:u w:val="single"/>
        </w:rPr>
        <w:t>ublic</w:t>
      </w:r>
      <w:r w:rsidRPr="002C36A3">
        <w:rPr>
          <w:rFonts w:cs="Arial"/>
          <w:szCs w:val="24"/>
          <w:u w:val="single"/>
        </w:rPr>
        <w:t xml:space="preserve"> H</w:t>
      </w:r>
      <w:r w:rsidR="007E71BD" w:rsidRPr="002C36A3">
        <w:rPr>
          <w:rFonts w:cs="Arial"/>
          <w:szCs w:val="24"/>
          <w:u w:val="single"/>
        </w:rPr>
        <w:t>ealth</w:t>
      </w:r>
    </w:p>
    <w:p w14:paraId="573E69AC" w14:textId="59EB82B1" w:rsidR="007475D5" w:rsidRDefault="007475D5" w:rsidP="001F1E67">
      <w:pPr>
        <w:pStyle w:val="ListParagraph"/>
        <w:numPr>
          <w:ilvl w:val="1"/>
          <w:numId w:val="18"/>
        </w:numPr>
        <w:spacing w:after="120"/>
        <w:ind w:left="709" w:hanging="709"/>
        <w:jc w:val="both"/>
        <w:rPr>
          <w:rFonts w:cs="Arial"/>
          <w:szCs w:val="24"/>
        </w:rPr>
      </w:pPr>
      <w:r>
        <w:rPr>
          <w:rFonts w:cs="Arial"/>
          <w:szCs w:val="24"/>
        </w:rPr>
        <w:t>Public Health’s position at Quarter 2 is</w:t>
      </w:r>
      <w:r w:rsidR="00F04E04">
        <w:rPr>
          <w:rFonts w:cs="Arial"/>
          <w:szCs w:val="24"/>
        </w:rPr>
        <w:t xml:space="preserve"> a </w:t>
      </w:r>
      <w:r>
        <w:rPr>
          <w:rFonts w:cs="Arial"/>
          <w:szCs w:val="24"/>
        </w:rPr>
        <w:t>(£</w:t>
      </w:r>
      <w:r w:rsidR="00F04E04">
        <w:rPr>
          <w:rFonts w:cs="Arial"/>
          <w:szCs w:val="24"/>
        </w:rPr>
        <w:t xml:space="preserve">528k) </w:t>
      </w:r>
      <w:r w:rsidR="007635E6">
        <w:rPr>
          <w:rFonts w:cs="Arial"/>
          <w:szCs w:val="24"/>
        </w:rPr>
        <w:t>underspend,</w:t>
      </w:r>
      <w:r w:rsidR="00F04E04">
        <w:rPr>
          <w:rFonts w:cs="Arial"/>
          <w:szCs w:val="24"/>
        </w:rPr>
        <w:t xml:space="preserve"> </w:t>
      </w:r>
      <w:r>
        <w:rPr>
          <w:rFonts w:cs="Arial"/>
          <w:szCs w:val="24"/>
        </w:rPr>
        <w:t>a favourable movement of £</w:t>
      </w:r>
      <w:r w:rsidR="00F04E04">
        <w:rPr>
          <w:rFonts w:cs="Arial"/>
          <w:szCs w:val="24"/>
        </w:rPr>
        <w:t>0.</w:t>
      </w:r>
      <w:r>
        <w:rPr>
          <w:rFonts w:cs="Arial"/>
          <w:szCs w:val="24"/>
        </w:rPr>
        <w:t>177</w:t>
      </w:r>
      <w:r w:rsidR="00F04E04">
        <w:rPr>
          <w:rFonts w:cs="Arial"/>
          <w:szCs w:val="24"/>
        </w:rPr>
        <w:t>m</w:t>
      </w:r>
      <w:r>
        <w:rPr>
          <w:rFonts w:cs="Arial"/>
          <w:szCs w:val="24"/>
        </w:rPr>
        <w:t xml:space="preserve"> when compare</w:t>
      </w:r>
      <w:r w:rsidR="00F04E04">
        <w:rPr>
          <w:rFonts w:cs="Arial"/>
          <w:szCs w:val="24"/>
        </w:rPr>
        <w:t>d</w:t>
      </w:r>
      <w:r>
        <w:rPr>
          <w:rFonts w:cs="Arial"/>
          <w:szCs w:val="24"/>
        </w:rPr>
        <w:t xml:space="preserve"> to Quarter 1.</w:t>
      </w:r>
    </w:p>
    <w:p w14:paraId="22119B18" w14:textId="1068DA15" w:rsidR="006A6FB1" w:rsidRDefault="006A6FB1" w:rsidP="001F1E67">
      <w:pPr>
        <w:pStyle w:val="ListParagraph"/>
        <w:numPr>
          <w:ilvl w:val="1"/>
          <w:numId w:val="18"/>
        </w:numPr>
        <w:spacing w:after="120"/>
        <w:ind w:left="709" w:hanging="709"/>
        <w:jc w:val="both"/>
        <w:rPr>
          <w:rFonts w:cs="Arial"/>
          <w:szCs w:val="24"/>
        </w:rPr>
      </w:pPr>
      <w:r w:rsidRPr="006A6FB1">
        <w:rPr>
          <w:rFonts w:cs="Arial"/>
          <w:szCs w:val="24"/>
        </w:rPr>
        <w:t xml:space="preserve">The 2016/17 budget process created capacity of </w:t>
      </w:r>
      <w:r w:rsidR="007475D5" w:rsidRPr="007475D5">
        <w:rPr>
          <w:rFonts w:cs="Arial"/>
          <w:b/>
          <w:szCs w:val="24"/>
        </w:rPr>
        <w:t>(</w:t>
      </w:r>
      <w:r w:rsidRPr="007475D5">
        <w:rPr>
          <w:rFonts w:cs="Arial"/>
          <w:b/>
          <w:szCs w:val="24"/>
        </w:rPr>
        <w:t>£184k</w:t>
      </w:r>
      <w:r w:rsidR="007475D5" w:rsidRPr="007475D5">
        <w:rPr>
          <w:rFonts w:cs="Arial"/>
          <w:b/>
          <w:szCs w:val="24"/>
        </w:rPr>
        <w:t>)</w:t>
      </w:r>
      <w:r w:rsidRPr="006A6FB1">
        <w:rPr>
          <w:rFonts w:cs="Arial"/>
          <w:szCs w:val="24"/>
        </w:rPr>
        <w:t xml:space="preserve"> in the grant against which wider public health outcomes could be charged.  Further capacity of </w:t>
      </w:r>
      <w:r w:rsidR="007475D5" w:rsidRPr="007475D5">
        <w:rPr>
          <w:rFonts w:cs="Arial"/>
          <w:b/>
          <w:szCs w:val="24"/>
        </w:rPr>
        <w:t>(</w:t>
      </w:r>
      <w:r w:rsidRPr="007475D5">
        <w:rPr>
          <w:rFonts w:cs="Arial"/>
          <w:b/>
          <w:szCs w:val="24"/>
        </w:rPr>
        <w:t>£344k</w:t>
      </w:r>
      <w:r w:rsidR="007475D5" w:rsidRPr="007475D5">
        <w:rPr>
          <w:rFonts w:cs="Arial"/>
          <w:b/>
          <w:szCs w:val="24"/>
        </w:rPr>
        <w:t>)</w:t>
      </w:r>
      <w:r w:rsidRPr="006A6FB1">
        <w:rPr>
          <w:rFonts w:cs="Arial"/>
          <w:szCs w:val="24"/>
        </w:rPr>
        <w:t xml:space="preserve"> has been identified; largely from reducing spend on wider health improvement together with the funding allocated by members to fund specific projects in areas of cuts, to mitigate the wider C</w:t>
      </w:r>
      <w:r w:rsidR="009C512C">
        <w:rPr>
          <w:rFonts w:cs="Arial"/>
          <w:szCs w:val="24"/>
        </w:rPr>
        <w:t xml:space="preserve">ouncil financial position.  The </w:t>
      </w:r>
      <w:r w:rsidRPr="006A6FB1">
        <w:rPr>
          <w:rFonts w:cs="Arial"/>
          <w:szCs w:val="24"/>
        </w:rPr>
        <w:t xml:space="preserve">underspend shown represents this capacity and offsets wider outcomes for which </w:t>
      </w:r>
      <w:r w:rsidRPr="004B0F4C">
        <w:rPr>
          <w:rFonts w:cs="Arial"/>
          <w:szCs w:val="24"/>
        </w:rPr>
        <w:t>expenditure has been incurred across the Council.</w:t>
      </w:r>
    </w:p>
    <w:p w14:paraId="69B0C22B" w14:textId="77777777" w:rsidR="004B0F4C" w:rsidRPr="004B0F4C" w:rsidRDefault="004B0F4C" w:rsidP="004B0F4C">
      <w:pPr>
        <w:pStyle w:val="ListParagraph"/>
        <w:numPr>
          <w:ilvl w:val="1"/>
          <w:numId w:val="18"/>
        </w:numPr>
        <w:ind w:left="709" w:hanging="709"/>
        <w:rPr>
          <w:rFonts w:cs="Arial"/>
          <w:szCs w:val="24"/>
        </w:rPr>
      </w:pPr>
      <w:r w:rsidRPr="004B0F4C">
        <w:rPr>
          <w:rFonts w:cs="Arial"/>
          <w:szCs w:val="24"/>
        </w:rPr>
        <w:t>The demand led nature of sexual health services potentially reflects the greatest financial risk, however to date the activity is not indicating rising pressures which would lead to variations.</w:t>
      </w:r>
    </w:p>
    <w:bookmarkEnd w:id="3"/>
    <w:p w14:paraId="39169A58" w14:textId="77777777" w:rsidR="0035160F" w:rsidRDefault="0035160F" w:rsidP="00F650D7">
      <w:pPr>
        <w:spacing w:after="240"/>
        <w:jc w:val="both"/>
        <w:rPr>
          <w:rFonts w:cs="Arial"/>
          <w:b/>
          <w:szCs w:val="24"/>
          <w:u w:val="single"/>
        </w:rPr>
      </w:pPr>
    </w:p>
    <w:p w14:paraId="443E1390" w14:textId="6A81AD6A" w:rsidR="00F04E04" w:rsidRDefault="00FD633E" w:rsidP="00F650D7">
      <w:pPr>
        <w:spacing w:after="240"/>
        <w:jc w:val="both"/>
        <w:rPr>
          <w:rFonts w:cs="Arial"/>
          <w:b/>
          <w:szCs w:val="24"/>
          <w:u w:val="single"/>
        </w:rPr>
      </w:pPr>
      <w:r w:rsidRPr="008A73C4">
        <w:rPr>
          <w:rFonts w:cs="Arial"/>
          <w:b/>
          <w:szCs w:val="24"/>
          <w:u w:val="single"/>
        </w:rPr>
        <w:t>R</w:t>
      </w:r>
      <w:r w:rsidR="00152955">
        <w:rPr>
          <w:rFonts w:cs="Arial"/>
          <w:b/>
          <w:szCs w:val="24"/>
          <w:u w:val="single"/>
        </w:rPr>
        <w:t>egeneration, Enterprise and Planning Services</w:t>
      </w:r>
    </w:p>
    <w:p w14:paraId="0BE6A250" w14:textId="048CEB7D" w:rsidR="00F04E04" w:rsidRPr="00AF598E" w:rsidRDefault="00F04E04" w:rsidP="00F650D7">
      <w:pPr>
        <w:spacing w:after="240"/>
        <w:ind w:left="709"/>
        <w:jc w:val="both"/>
        <w:rPr>
          <w:rFonts w:cs="Arial"/>
          <w:b/>
          <w:szCs w:val="24"/>
          <w:u w:val="single"/>
        </w:rPr>
      </w:pPr>
      <w:r w:rsidRPr="00AF598E">
        <w:rPr>
          <w:rFonts w:cs="Arial"/>
          <w:b/>
          <w:szCs w:val="24"/>
        </w:rPr>
        <w:tab/>
      </w:r>
      <w:r w:rsidRPr="00AF598E">
        <w:rPr>
          <w:rFonts w:cs="Arial"/>
          <w:b/>
          <w:szCs w:val="24"/>
          <w:u w:val="single"/>
        </w:rPr>
        <w:t xml:space="preserve">Table 6: Regeneration, Enterprise and </w:t>
      </w:r>
      <w:r w:rsidR="00A533C8">
        <w:rPr>
          <w:rFonts w:cs="Arial"/>
          <w:b/>
          <w:szCs w:val="24"/>
          <w:u w:val="single"/>
        </w:rPr>
        <w:t>P</w:t>
      </w:r>
      <w:r w:rsidR="00A533C8" w:rsidRPr="00AF598E">
        <w:rPr>
          <w:rFonts w:cs="Arial"/>
          <w:b/>
          <w:szCs w:val="24"/>
          <w:u w:val="single"/>
        </w:rPr>
        <w:t>lanning</w:t>
      </w:r>
      <w:r w:rsidR="00A533C8">
        <w:rPr>
          <w:rFonts w:cs="Arial"/>
          <w:b/>
          <w:szCs w:val="24"/>
          <w:u w:val="single"/>
        </w:rPr>
        <w:t xml:space="preserve"> V</w:t>
      </w:r>
      <w:r w:rsidR="00AF598E">
        <w:rPr>
          <w:rFonts w:cs="Arial"/>
          <w:b/>
          <w:szCs w:val="24"/>
          <w:u w:val="single"/>
        </w:rPr>
        <w:t>ariance</w:t>
      </w:r>
      <w:r w:rsidRPr="00AF598E">
        <w:rPr>
          <w:rFonts w:cs="Arial"/>
          <w:b/>
          <w:szCs w:val="24"/>
          <w:u w:val="single"/>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276"/>
        <w:gridCol w:w="1559"/>
      </w:tblGrid>
      <w:tr w:rsidR="00661E25" w:rsidRPr="00913DD6" w14:paraId="2398D102" w14:textId="77777777" w:rsidTr="00AD2795">
        <w:tc>
          <w:tcPr>
            <w:tcW w:w="2126" w:type="dxa"/>
          </w:tcPr>
          <w:p w14:paraId="35EB5061" w14:textId="622B0560" w:rsidR="00661E25" w:rsidRDefault="00661E25" w:rsidP="00AD2795">
            <w:pPr>
              <w:jc w:val="center"/>
              <w:rPr>
                <w:rFonts w:cs="Arial"/>
                <w:szCs w:val="24"/>
              </w:rPr>
            </w:pPr>
          </w:p>
        </w:tc>
        <w:tc>
          <w:tcPr>
            <w:tcW w:w="1276" w:type="dxa"/>
            <w:shd w:val="clear" w:color="auto" w:fill="auto"/>
          </w:tcPr>
          <w:p w14:paraId="3A61F872" w14:textId="66390E6D" w:rsidR="00661E25" w:rsidRPr="00913DD6" w:rsidRDefault="00661E25" w:rsidP="00F650D7">
            <w:pPr>
              <w:jc w:val="both"/>
              <w:rPr>
                <w:rFonts w:cs="Arial"/>
                <w:szCs w:val="24"/>
              </w:rPr>
            </w:pPr>
            <w:r>
              <w:rPr>
                <w:rFonts w:cs="Arial"/>
                <w:szCs w:val="24"/>
              </w:rPr>
              <w:t>Quarter2</w:t>
            </w:r>
          </w:p>
          <w:p w14:paraId="5B84F5F1" w14:textId="77777777" w:rsidR="00661E25" w:rsidRPr="00913DD6" w:rsidRDefault="00661E25" w:rsidP="00F650D7">
            <w:pPr>
              <w:jc w:val="both"/>
              <w:rPr>
                <w:rFonts w:cs="Arial"/>
                <w:szCs w:val="24"/>
              </w:rPr>
            </w:pPr>
            <w:r w:rsidRPr="00913DD6">
              <w:rPr>
                <w:rFonts w:cs="Arial"/>
                <w:szCs w:val="24"/>
              </w:rPr>
              <w:t xml:space="preserve">Variance </w:t>
            </w:r>
          </w:p>
          <w:p w14:paraId="16DC182A" w14:textId="77777777" w:rsidR="00661E25" w:rsidRPr="00913DD6" w:rsidRDefault="00661E25" w:rsidP="00F650D7">
            <w:pPr>
              <w:jc w:val="both"/>
              <w:rPr>
                <w:rFonts w:cs="Arial"/>
                <w:szCs w:val="24"/>
              </w:rPr>
            </w:pPr>
            <w:r w:rsidRPr="00913DD6">
              <w:rPr>
                <w:rFonts w:cs="Arial"/>
                <w:szCs w:val="24"/>
              </w:rPr>
              <w:t>£000</w:t>
            </w:r>
          </w:p>
        </w:tc>
        <w:tc>
          <w:tcPr>
            <w:tcW w:w="1276" w:type="dxa"/>
            <w:shd w:val="clear" w:color="auto" w:fill="auto"/>
          </w:tcPr>
          <w:p w14:paraId="1497AF2B" w14:textId="1E278161" w:rsidR="00661E25" w:rsidRPr="00913DD6" w:rsidRDefault="00661E25" w:rsidP="00F650D7">
            <w:pPr>
              <w:jc w:val="both"/>
              <w:rPr>
                <w:rFonts w:cs="Arial"/>
                <w:szCs w:val="24"/>
              </w:rPr>
            </w:pPr>
            <w:r>
              <w:rPr>
                <w:rFonts w:cs="Arial"/>
                <w:szCs w:val="24"/>
              </w:rPr>
              <w:t>Quarter1</w:t>
            </w:r>
          </w:p>
          <w:p w14:paraId="1A27C909" w14:textId="77777777" w:rsidR="00661E25" w:rsidRPr="00913DD6" w:rsidRDefault="00661E25" w:rsidP="00F650D7">
            <w:pPr>
              <w:jc w:val="both"/>
              <w:rPr>
                <w:rFonts w:cs="Arial"/>
                <w:szCs w:val="24"/>
              </w:rPr>
            </w:pPr>
            <w:r w:rsidRPr="00913DD6">
              <w:rPr>
                <w:rFonts w:cs="Arial"/>
                <w:szCs w:val="24"/>
              </w:rPr>
              <w:t>Variance</w:t>
            </w:r>
          </w:p>
          <w:p w14:paraId="03580B88" w14:textId="77777777" w:rsidR="00661E25" w:rsidRPr="00913DD6" w:rsidRDefault="00661E25" w:rsidP="00F650D7">
            <w:pPr>
              <w:jc w:val="both"/>
              <w:rPr>
                <w:rFonts w:cs="Arial"/>
                <w:szCs w:val="24"/>
              </w:rPr>
            </w:pPr>
            <w:r w:rsidRPr="00913DD6">
              <w:rPr>
                <w:rFonts w:cs="Arial"/>
                <w:szCs w:val="24"/>
              </w:rPr>
              <w:t>£000</w:t>
            </w:r>
          </w:p>
        </w:tc>
        <w:tc>
          <w:tcPr>
            <w:tcW w:w="1559" w:type="dxa"/>
            <w:shd w:val="clear" w:color="auto" w:fill="auto"/>
          </w:tcPr>
          <w:p w14:paraId="63BF08CA" w14:textId="77777777" w:rsidR="00661E25" w:rsidRPr="00913DD6" w:rsidRDefault="00661E25" w:rsidP="00F650D7">
            <w:pPr>
              <w:jc w:val="both"/>
              <w:rPr>
                <w:rFonts w:cs="Arial"/>
                <w:szCs w:val="24"/>
              </w:rPr>
            </w:pPr>
            <w:r w:rsidRPr="00913DD6">
              <w:rPr>
                <w:rFonts w:cs="Arial"/>
                <w:szCs w:val="24"/>
              </w:rPr>
              <w:t>Movement</w:t>
            </w:r>
          </w:p>
          <w:p w14:paraId="32C129EA" w14:textId="77777777" w:rsidR="00661E25" w:rsidRPr="00913DD6" w:rsidRDefault="00661E25" w:rsidP="00F650D7">
            <w:pPr>
              <w:jc w:val="both"/>
              <w:rPr>
                <w:rFonts w:cs="Arial"/>
                <w:szCs w:val="24"/>
              </w:rPr>
            </w:pPr>
          </w:p>
          <w:p w14:paraId="3771CB80" w14:textId="77777777" w:rsidR="00661E25" w:rsidRPr="00913DD6" w:rsidRDefault="00661E25" w:rsidP="00F650D7">
            <w:pPr>
              <w:jc w:val="both"/>
              <w:rPr>
                <w:rFonts w:cs="Arial"/>
                <w:szCs w:val="24"/>
              </w:rPr>
            </w:pPr>
            <w:r w:rsidRPr="00913DD6">
              <w:rPr>
                <w:rFonts w:cs="Arial"/>
                <w:szCs w:val="24"/>
              </w:rPr>
              <w:t>£000</w:t>
            </w:r>
          </w:p>
        </w:tc>
      </w:tr>
      <w:tr w:rsidR="00661E25" w:rsidRPr="00913DD6" w14:paraId="3DAF9453" w14:textId="77777777" w:rsidTr="00AD2795">
        <w:tc>
          <w:tcPr>
            <w:tcW w:w="2126" w:type="dxa"/>
          </w:tcPr>
          <w:p w14:paraId="408A25D9" w14:textId="277A2F49" w:rsidR="00661E25" w:rsidRDefault="00AD2795" w:rsidP="00F650D7">
            <w:pPr>
              <w:jc w:val="both"/>
              <w:rPr>
                <w:rFonts w:cs="Arial"/>
                <w:szCs w:val="24"/>
              </w:rPr>
            </w:pPr>
            <w:r>
              <w:rPr>
                <w:rFonts w:cs="Arial"/>
                <w:szCs w:val="24"/>
              </w:rPr>
              <w:t>Economic Development &amp; Research</w:t>
            </w:r>
          </w:p>
        </w:tc>
        <w:tc>
          <w:tcPr>
            <w:tcW w:w="1276" w:type="dxa"/>
            <w:shd w:val="clear" w:color="auto" w:fill="auto"/>
          </w:tcPr>
          <w:p w14:paraId="3896F598" w14:textId="141CEFFB" w:rsidR="00661E25" w:rsidRPr="00913DD6" w:rsidRDefault="001D70DB" w:rsidP="00EA240F">
            <w:pPr>
              <w:rPr>
                <w:rFonts w:cs="Arial"/>
                <w:szCs w:val="24"/>
              </w:rPr>
            </w:pPr>
            <w:r>
              <w:rPr>
                <w:rFonts w:cs="Arial"/>
                <w:szCs w:val="24"/>
              </w:rPr>
              <w:t>(</w:t>
            </w:r>
            <w:r w:rsidR="00AD2795">
              <w:rPr>
                <w:rFonts w:cs="Arial"/>
                <w:szCs w:val="24"/>
              </w:rPr>
              <w:t>6</w:t>
            </w:r>
            <w:r>
              <w:rPr>
                <w:rFonts w:cs="Arial"/>
                <w:szCs w:val="24"/>
              </w:rPr>
              <w:t>)</w:t>
            </w:r>
          </w:p>
        </w:tc>
        <w:tc>
          <w:tcPr>
            <w:tcW w:w="1276" w:type="dxa"/>
            <w:shd w:val="clear" w:color="auto" w:fill="auto"/>
          </w:tcPr>
          <w:p w14:paraId="1258A715" w14:textId="0A465451" w:rsidR="00661E25" w:rsidRPr="00913DD6" w:rsidRDefault="00AD2795" w:rsidP="00EA240F">
            <w:pPr>
              <w:rPr>
                <w:rFonts w:cs="Arial"/>
                <w:szCs w:val="24"/>
              </w:rPr>
            </w:pPr>
            <w:r>
              <w:rPr>
                <w:rFonts w:cs="Arial"/>
                <w:szCs w:val="24"/>
              </w:rPr>
              <w:t>0</w:t>
            </w:r>
          </w:p>
        </w:tc>
        <w:tc>
          <w:tcPr>
            <w:tcW w:w="1559" w:type="dxa"/>
            <w:shd w:val="clear" w:color="auto" w:fill="auto"/>
          </w:tcPr>
          <w:p w14:paraId="6E0E8274" w14:textId="21F55AE1" w:rsidR="00661E25" w:rsidRPr="00913DD6" w:rsidRDefault="001D70DB" w:rsidP="00EA240F">
            <w:pPr>
              <w:rPr>
                <w:rFonts w:cs="Arial"/>
                <w:szCs w:val="24"/>
              </w:rPr>
            </w:pPr>
            <w:r>
              <w:rPr>
                <w:rFonts w:cs="Arial"/>
                <w:szCs w:val="24"/>
              </w:rPr>
              <w:t>(</w:t>
            </w:r>
            <w:r w:rsidR="00AD2795">
              <w:rPr>
                <w:rFonts w:cs="Arial"/>
                <w:szCs w:val="24"/>
              </w:rPr>
              <w:t>6</w:t>
            </w:r>
            <w:r>
              <w:rPr>
                <w:rFonts w:cs="Arial"/>
                <w:szCs w:val="24"/>
              </w:rPr>
              <w:t>)</w:t>
            </w:r>
          </w:p>
        </w:tc>
      </w:tr>
      <w:tr w:rsidR="00661E25" w:rsidRPr="00913DD6" w14:paraId="524697E4" w14:textId="77777777" w:rsidTr="00AD2795">
        <w:tc>
          <w:tcPr>
            <w:tcW w:w="2126" w:type="dxa"/>
          </w:tcPr>
          <w:p w14:paraId="7C12E301" w14:textId="036B7551" w:rsidR="00661E25" w:rsidRDefault="00AD2795" w:rsidP="00F650D7">
            <w:pPr>
              <w:jc w:val="both"/>
              <w:rPr>
                <w:rFonts w:cs="Arial"/>
                <w:szCs w:val="24"/>
              </w:rPr>
            </w:pPr>
            <w:r>
              <w:rPr>
                <w:rFonts w:cs="Arial"/>
                <w:szCs w:val="24"/>
              </w:rPr>
              <w:t>Planning</w:t>
            </w:r>
          </w:p>
        </w:tc>
        <w:tc>
          <w:tcPr>
            <w:tcW w:w="1276" w:type="dxa"/>
            <w:shd w:val="clear" w:color="auto" w:fill="auto"/>
          </w:tcPr>
          <w:p w14:paraId="7982CFB9" w14:textId="4C8064DD" w:rsidR="00661E25" w:rsidRDefault="00AD2795" w:rsidP="00AD2795">
            <w:pPr>
              <w:rPr>
                <w:rFonts w:cs="Arial"/>
                <w:szCs w:val="24"/>
              </w:rPr>
            </w:pPr>
            <w:r>
              <w:rPr>
                <w:rFonts w:cs="Arial"/>
                <w:szCs w:val="24"/>
              </w:rPr>
              <w:t>68</w:t>
            </w:r>
          </w:p>
        </w:tc>
        <w:tc>
          <w:tcPr>
            <w:tcW w:w="1276" w:type="dxa"/>
            <w:shd w:val="clear" w:color="auto" w:fill="auto"/>
          </w:tcPr>
          <w:p w14:paraId="2A67E897" w14:textId="74AA5437" w:rsidR="00661E25" w:rsidRDefault="00AD2795" w:rsidP="00AD2795">
            <w:pPr>
              <w:rPr>
                <w:rFonts w:cs="Arial"/>
                <w:szCs w:val="24"/>
              </w:rPr>
            </w:pPr>
            <w:r>
              <w:rPr>
                <w:rFonts w:cs="Arial"/>
                <w:szCs w:val="24"/>
              </w:rPr>
              <w:t>0</w:t>
            </w:r>
          </w:p>
        </w:tc>
        <w:tc>
          <w:tcPr>
            <w:tcW w:w="1559" w:type="dxa"/>
            <w:shd w:val="clear" w:color="auto" w:fill="auto"/>
          </w:tcPr>
          <w:p w14:paraId="6F52B069" w14:textId="456DAB54" w:rsidR="00661E25" w:rsidRDefault="00AD2795" w:rsidP="00AD2795">
            <w:pPr>
              <w:rPr>
                <w:rFonts w:cs="Arial"/>
                <w:szCs w:val="24"/>
              </w:rPr>
            </w:pPr>
            <w:r>
              <w:rPr>
                <w:rFonts w:cs="Arial"/>
                <w:szCs w:val="24"/>
              </w:rPr>
              <w:t>68</w:t>
            </w:r>
          </w:p>
        </w:tc>
      </w:tr>
      <w:tr w:rsidR="00661E25" w:rsidRPr="00913DD6" w14:paraId="17D36A9A" w14:textId="77777777" w:rsidTr="00AD2795">
        <w:tc>
          <w:tcPr>
            <w:tcW w:w="2126" w:type="dxa"/>
          </w:tcPr>
          <w:p w14:paraId="712CC419" w14:textId="1B529E31" w:rsidR="00661E25" w:rsidRDefault="00AD2795" w:rsidP="00F650D7">
            <w:pPr>
              <w:jc w:val="both"/>
              <w:rPr>
                <w:rFonts w:cs="Arial"/>
                <w:szCs w:val="24"/>
              </w:rPr>
            </w:pPr>
            <w:r>
              <w:rPr>
                <w:rFonts w:cs="Arial"/>
                <w:szCs w:val="24"/>
              </w:rPr>
              <w:t>Regeneration</w:t>
            </w:r>
          </w:p>
        </w:tc>
        <w:tc>
          <w:tcPr>
            <w:tcW w:w="1276" w:type="dxa"/>
            <w:shd w:val="clear" w:color="auto" w:fill="auto"/>
          </w:tcPr>
          <w:p w14:paraId="5D6BDA68" w14:textId="4B8B8E20" w:rsidR="00661E25" w:rsidRDefault="00AD2795" w:rsidP="00AD2795">
            <w:pPr>
              <w:rPr>
                <w:rFonts w:cs="Arial"/>
                <w:szCs w:val="24"/>
              </w:rPr>
            </w:pPr>
            <w:r>
              <w:rPr>
                <w:rFonts w:cs="Arial"/>
                <w:szCs w:val="24"/>
              </w:rPr>
              <w:t>505</w:t>
            </w:r>
          </w:p>
        </w:tc>
        <w:tc>
          <w:tcPr>
            <w:tcW w:w="1276" w:type="dxa"/>
            <w:shd w:val="clear" w:color="auto" w:fill="auto"/>
          </w:tcPr>
          <w:p w14:paraId="0DA6B435" w14:textId="43D830AD" w:rsidR="00661E25" w:rsidRDefault="00AD2795" w:rsidP="00AD2795">
            <w:pPr>
              <w:rPr>
                <w:rFonts w:cs="Arial"/>
                <w:szCs w:val="24"/>
              </w:rPr>
            </w:pPr>
            <w:r>
              <w:rPr>
                <w:rFonts w:cs="Arial"/>
                <w:szCs w:val="24"/>
              </w:rPr>
              <w:t>0</w:t>
            </w:r>
          </w:p>
        </w:tc>
        <w:tc>
          <w:tcPr>
            <w:tcW w:w="1559" w:type="dxa"/>
            <w:shd w:val="clear" w:color="auto" w:fill="auto"/>
          </w:tcPr>
          <w:p w14:paraId="4F5C025C" w14:textId="57D02886" w:rsidR="00661E25" w:rsidRDefault="00AD2795" w:rsidP="00AD2795">
            <w:pPr>
              <w:rPr>
                <w:rFonts w:cs="Arial"/>
                <w:szCs w:val="24"/>
              </w:rPr>
            </w:pPr>
            <w:r>
              <w:rPr>
                <w:rFonts w:cs="Arial"/>
                <w:szCs w:val="24"/>
              </w:rPr>
              <w:t>505</w:t>
            </w:r>
          </w:p>
        </w:tc>
      </w:tr>
      <w:tr w:rsidR="00661E25" w:rsidRPr="00913DD6" w14:paraId="4AB45FB3" w14:textId="77777777" w:rsidTr="00AD2795">
        <w:tc>
          <w:tcPr>
            <w:tcW w:w="2126" w:type="dxa"/>
          </w:tcPr>
          <w:p w14:paraId="1D3D66BC" w14:textId="6092C3A5" w:rsidR="00661E25" w:rsidRDefault="00AD2795" w:rsidP="00F650D7">
            <w:pPr>
              <w:jc w:val="both"/>
              <w:rPr>
                <w:rFonts w:cs="Arial"/>
                <w:szCs w:val="24"/>
              </w:rPr>
            </w:pPr>
            <w:r>
              <w:rPr>
                <w:rFonts w:cs="Arial"/>
                <w:szCs w:val="24"/>
              </w:rPr>
              <w:t>One-off in year  mitigation</w:t>
            </w:r>
          </w:p>
        </w:tc>
        <w:tc>
          <w:tcPr>
            <w:tcW w:w="1276" w:type="dxa"/>
            <w:shd w:val="clear" w:color="auto" w:fill="auto"/>
          </w:tcPr>
          <w:p w14:paraId="3979269F" w14:textId="67895B79" w:rsidR="00661E25" w:rsidRDefault="001D70DB" w:rsidP="00EA240F">
            <w:pPr>
              <w:rPr>
                <w:rFonts w:cs="Arial"/>
                <w:szCs w:val="24"/>
              </w:rPr>
            </w:pPr>
            <w:r>
              <w:rPr>
                <w:rFonts w:cs="Arial"/>
                <w:szCs w:val="24"/>
              </w:rPr>
              <w:t>(</w:t>
            </w:r>
            <w:r w:rsidR="00AD2795">
              <w:rPr>
                <w:rFonts w:cs="Arial"/>
                <w:szCs w:val="24"/>
              </w:rPr>
              <w:t>222</w:t>
            </w:r>
            <w:r>
              <w:rPr>
                <w:rFonts w:cs="Arial"/>
                <w:szCs w:val="24"/>
              </w:rPr>
              <w:t>)</w:t>
            </w:r>
          </w:p>
        </w:tc>
        <w:tc>
          <w:tcPr>
            <w:tcW w:w="1276" w:type="dxa"/>
            <w:shd w:val="clear" w:color="auto" w:fill="auto"/>
          </w:tcPr>
          <w:p w14:paraId="77CB85F0" w14:textId="16380D5A" w:rsidR="00661E25" w:rsidRDefault="00AD2795" w:rsidP="00AD2795">
            <w:pPr>
              <w:rPr>
                <w:rFonts w:cs="Arial"/>
                <w:szCs w:val="24"/>
              </w:rPr>
            </w:pPr>
            <w:r>
              <w:rPr>
                <w:rFonts w:cs="Arial"/>
                <w:szCs w:val="24"/>
              </w:rPr>
              <w:t>0</w:t>
            </w:r>
          </w:p>
        </w:tc>
        <w:tc>
          <w:tcPr>
            <w:tcW w:w="1559" w:type="dxa"/>
            <w:shd w:val="clear" w:color="auto" w:fill="auto"/>
          </w:tcPr>
          <w:p w14:paraId="55DE42C5" w14:textId="2793470B" w:rsidR="00661E25" w:rsidRDefault="001D70DB" w:rsidP="00EA240F">
            <w:pPr>
              <w:rPr>
                <w:rFonts w:cs="Arial"/>
                <w:szCs w:val="24"/>
              </w:rPr>
            </w:pPr>
            <w:r>
              <w:rPr>
                <w:rFonts w:cs="Arial"/>
                <w:szCs w:val="24"/>
              </w:rPr>
              <w:t>(</w:t>
            </w:r>
            <w:r w:rsidR="00AD2795">
              <w:rPr>
                <w:rFonts w:cs="Arial"/>
                <w:szCs w:val="24"/>
              </w:rPr>
              <w:t>222</w:t>
            </w:r>
            <w:r>
              <w:rPr>
                <w:rFonts w:cs="Arial"/>
                <w:szCs w:val="24"/>
              </w:rPr>
              <w:t>)</w:t>
            </w:r>
          </w:p>
        </w:tc>
      </w:tr>
      <w:tr w:rsidR="00AD2795" w:rsidRPr="00913DD6" w14:paraId="1711856B" w14:textId="77777777" w:rsidTr="00AD2795">
        <w:tc>
          <w:tcPr>
            <w:tcW w:w="2126" w:type="dxa"/>
          </w:tcPr>
          <w:p w14:paraId="5C8A12DD" w14:textId="5C18BCC0" w:rsidR="00AD2795" w:rsidRDefault="00AD2795" w:rsidP="00F650D7">
            <w:pPr>
              <w:jc w:val="both"/>
              <w:rPr>
                <w:rFonts w:cs="Arial"/>
                <w:szCs w:val="24"/>
              </w:rPr>
            </w:pPr>
            <w:r>
              <w:rPr>
                <w:rFonts w:cs="Arial"/>
                <w:szCs w:val="24"/>
              </w:rPr>
              <w:lastRenderedPageBreak/>
              <w:t>Total</w:t>
            </w:r>
          </w:p>
        </w:tc>
        <w:tc>
          <w:tcPr>
            <w:tcW w:w="1276" w:type="dxa"/>
            <w:shd w:val="clear" w:color="auto" w:fill="auto"/>
          </w:tcPr>
          <w:p w14:paraId="380281D3" w14:textId="76993855" w:rsidR="00AD2795" w:rsidRDefault="00AD2795" w:rsidP="00AD2795">
            <w:pPr>
              <w:rPr>
                <w:rFonts w:cs="Arial"/>
                <w:szCs w:val="24"/>
              </w:rPr>
            </w:pPr>
            <w:r>
              <w:rPr>
                <w:rFonts w:cs="Arial"/>
                <w:szCs w:val="24"/>
              </w:rPr>
              <w:t>345</w:t>
            </w:r>
          </w:p>
        </w:tc>
        <w:tc>
          <w:tcPr>
            <w:tcW w:w="1276" w:type="dxa"/>
            <w:shd w:val="clear" w:color="auto" w:fill="auto"/>
          </w:tcPr>
          <w:p w14:paraId="533B57D0" w14:textId="0118E33C" w:rsidR="00AD2795" w:rsidRDefault="00AD2795" w:rsidP="00AD2795">
            <w:pPr>
              <w:rPr>
                <w:rFonts w:cs="Arial"/>
                <w:szCs w:val="24"/>
              </w:rPr>
            </w:pPr>
            <w:r>
              <w:rPr>
                <w:rFonts w:cs="Arial"/>
                <w:szCs w:val="24"/>
              </w:rPr>
              <w:t>0</w:t>
            </w:r>
          </w:p>
        </w:tc>
        <w:tc>
          <w:tcPr>
            <w:tcW w:w="1559" w:type="dxa"/>
            <w:shd w:val="clear" w:color="auto" w:fill="auto"/>
          </w:tcPr>
          <w:p w14:paraId="26A4B070" w14:textId="32D2164A" w:rsidR="00AD2795" w:rsidRDefault="00AD2795" w:rsidP="00AD2795">
            <w:pPr>
              <w:rPr>
                <w:rFonts w:cs="Arial"/>
                <w:szCs w:val="24"/>
              </w:rPr>
            </w:pPr>
            <w:r>
              <w:rPr>
                <w:rFonts w:cs="Arial"/>
                <w:szCs w:val="24"/>
              </w:rPr>
              <w:t>345</w:t>
            </w:r>
          </w:p>
        </w:tc>
      </w:tr>
      <w:bookmarkEnd w:id="2"/>
    </w:tbl>
    <w:p w14:paraId="5E55172C" w14:textId="77777777" w:rsidR="00AE3ADC" w:rsidRDefault="00AE3ADC" w:rsidP="00F650D7">
      <w:pPr>
        <w:ind w:left="644" w:hanging="644"/>
        <w:jc w:val="both"/>
      </w:pPr>
    </w:p>
    <w:p w14:paraId="0166D751" w14:textId="190F13A9" w:rsidR="006A0E09" w:rsidRDefault="00DC128E" w:rsidP="001F1E67">
      <w:pPr>
        <w:pStyle w:val="ListParagraph"/>
        <w:numPr>
          <w:ilvl w:val="1"/>
          <w:numId w:val="16"/>
        </w:numPr>
        <w:spacing w:after="120"/>
        <w:ind w:left="709" w:hanging="709"/>
        <w:jc w:val="both"/>
        <w:rPr>
          <w:b/>
          <w:u w:val="single"/>
        </w:rPr>
      </w:pPr>
      <w:r>
        <w:rPr>
          <w:rFonts w:cs="Arial"/>
          <w:szCs w:val="24"/>
        </w:rPr>
        <w:t>At Quarter 2</w:t>
      </w:r>
      <w:r w:rsidR="006D10D2" w:rsidRPr="00690DE0">
        <w:rPr>
          <w:rFonts w:cs="Arial"/>
          <w:szCs w:val="24"/>
        </w:rPr>
        <w:t>, Regeneration, Enterprise &amp; Planning are reporting</w:t>
      </w:r>
      <w:r w:rsidR="00DD6AC4" w:rsidRPr="00DD6AC4">
        <w:t xml:space="preserve"> </w:t>
      </w:r>
      <w:r w:rsidR="00DD6AC4" w:rsidRPr="00DD6AC4">
        <w:rPr>
          <w:rFonts w:cs="Arial"/>
          <w:szCs w:val="24"/>
        </w:rPr>
        <w:t>are reporting an over spend of £0.345m [33.2%] over the total net controllable budget</w:t>
      </w:r>
      <w:r w:rsidR="00DD6AC4">
        <w:rPr>
          <w:rFonts w:cs="Arial"/>
          <w:szCs w:val="24"/>
        </w:rPr>
        <w:t>.</w:t>
      </w:r>
      <w:bookmarkStart w:id="4" w:name="_Toc372706222"/>
      <w:r w:rsidR="00DB69D1" w:rsidRPr="00690DE0">
        <w:rPr>
          <w:b/>
          <w:u w:val="single"/>
        </w:rPr>
        <w:t xml:space="preserve"> </w:t>
      </w:r>
    </w:p>
    <w:p w14:paraId="1A812E6C" w14:textId="6103F5CB" w:rsidR="00DC128E" w:rsidRDefault="00DC128E" w:rsidP="001F1E67">
      <w:pPr>
        <w:pStyle w:val="ListParagraph"/>
        <w:numPr>
          <w:ilvl w:val="1"/>
          <w:numId w:val="16"/>
        </w:numPr>
        <w:spacing w:after="120"/>
        <w:ind w:left="709" w:hanging="709"/>
        <w:jc w:val="both"/>
        <w:rPr>
          <w:rFonts w:cs="Arial"/>
          <w:szCs w:val="24"/>
        </w:rPr>
      </w:pPr>
      <w:r w:rsidRPr="00DC128E">
        <w:rPr>
          <w:rFonts w:cs="Arial"/>
          <w:szCs w:val="24"/>
        </w:rPr>
        <w:t xml:space="preserve">The over spend relates in the main to the revenue costs of regeneration activity.  A review of estimated expenditure against the Council's Capitalisation Guidance indicates revenue expenditure not qualifying as capital to be </w:t>
      </w:r>
      <w:r w:rsidRPr="009C512C">
        <w:rPr>
          <w:rFonts w:cs="Arial"/>
          <w:b/>
          <w:szCs w:val="24"/>
        </w:rPr>
        <w:t>£50</w:t>
      </w:r>
      <w:r w:rsidR="00DD6AC4" w:rsidRPr="009C512C">
        <w:rPr>
          <w:rFonts w:cs="Arial"/>
          <w:b/>
          <w:szCs w:val="24"/>
        </w:rPr>
        <w:t>5k</w:t>
      </w:r>
      <w:r w:rsidR="00DD6AC4">
        <w:rPr>
          <w:rFonts w:cs="Arial"/>
          <w:szCs w:val="24"/>
        </w:rPr>
        <w:t xml:space="preserve"> based on estimates at quarter 2. </w:t>
      </w:r>
      <w:r w:rsidRPr="00DC128E">
        <w:rPr>
          <w:rFonts w:cs="Arial"/>
          <w:szCs w:val="24"/>
        </w:rPr>
        <w:t>The pressure is made up of £385k staffing costs, £116k community engagement &amp; communications, £43k planning policy implementation and £89k consultant and other costs. In addition, an estimated £128k New Homes Bonus will be drawn to offset this expenditure. These forecasts are based on assumptions being discussed with Council’s external auditors</w:t>
      </w:r>
      <w:r w:rsidR="00DD6AC4">
        <w:rPr>
          <w:rFonts w:cs="Arial"/>
          <w:szCs w:val="24"/>
        </w:rPr>
        <w:t>.</w:t>
      </w:r>
      <w:r w:rsidR="00F04E04">
        <w:rPr>
          <w:rFonts w:cs="Arial"/>
          <w:szCs w:val="24"/>
        </w:rPr>
        <w:t xml:space="preserve"> The £</w:t>
      </w:r>
      <w:r w:rsidR="00027425">
        <w:rPr>
          <w:rFonts w:cs="Arial"/>
          <w:szCs w:val="24"/>
        </w:rPr>
        <w:t>0.</w:t>
      </w:r>
      <w:r w:rsidR="00F04E04">
        <w:rPr>
          <w:rFonts w:cs="Arial"/>
          <w:szCs w:val="24"/>
        </w:rPr>
        <w:t>505</w:t>
      </w:r>
      <w:r w:rsidR="00027425">
        <w:rPr>
          <w:rFonts w:cs="Arial"/>
          <w:szCs w:val="24"/>
        </w:rPr>
        <w:t>m</w:t>
      </w:r>
      <w:r w:rsidR="00F04E04">
        <w:rPr>
          <w:rFonts w:cs="Arial"/>
          <w:szCs w:val="24"/>
        </w:rPr>
        <w:t xml:space="preserve"> pressure above is </w:t>
      </w:r>
      <w:r w:rsidR="00265871">
        <w:rPr>
          <w:rFonts w:cs="Arial"/>
          <w:szCs w:val="24"/>
        </w:rPr>
        <w:t>been contained within the regeneration model.</w:t>
      </w:r>
    </w:p>
    <w:p w14:paraId="5B034447" w14:textId="1B32E960" w:rsidR="00DD6AC4" w:rsidRDefault="00DD6AC4" w:rsidP="001F1E67">
      <w:pPr>
        <w:pStyle w:val="ListParagraph"/>
        <w:numPr>
          <w:ilvl w:val="1"/>
          <w:numId w:val="16"/>
        </w:numPr>
        <w:spacing w:after="120"/>
        <w:ind w:left="709" w:hanging="709"/>
        <w:jc w:val="both"/>
        <w:rPr>
          <w:rFonts w:cs="Arial"/>
          <w:szCs w:val="24"/>
        </w:rPr>
      </w:pPr>
      <w:r w:rsidRPr="00DD6AC4">
        <w:rPr>
          <w:rFonts w:cs="Arial"/>
          <w:szCs w:val="24"/>
        </w:rPr>
        <w:t xml:space="preserve">Planning </w:t>
      </w:r>
      <w:r w:rsidR="00027425">
        <w:rPr>
          <w:rFonts w:cs="Arial"/>
          <w:szCs w:val="24"/>
        </w:rPr>
        <w:t xml:space="preserve">are </w:t>
      </w:r>
      <w:r w:rsidRPr="00DD6AC4">
        <w:rPr>
          <w:rFonts w:cs="Arial"/>
          <w:szCs w:val="24"/>
        </w:rPr>
        <w:t>report</w:t>
      </w:r>
      <w:r w:rsidR="00027425">
        <w:rPr>
          <w:rFonts w:cs="Arial"/>
          <w:szCs w:val="24"/>
        </w:rPr>
        <w:t>ing</w:t>
      </w:r>
      <w:r w:rsidRPr="00DD6AC4">
        <w:rPr>
          <w:rFonts w:cs="Arial"/>
          <w:szCs w:val="24"/>
        </w:rPr>
        <w:t xml:space="preserve"> a</w:t>
      </w:r>
      <w:r>
        <w:rPr>
          <w:rFonts w:cs="Arial"/>
          <w:szCs w:val="24"/>
        </w:rPr>
        <w:t xml:space="preserve">n over spend of </w:t>
      </w:r>
      <w:r w:rsidRPr="007475D5">
        <w:rPr>
          <w:rFonts w:cs="Arial"/>
          <w:b/>
          <w:szCs w:val="24"/>
        </w:rPr>
        <w:t>£68k</w:t>
      </w:r>
      <w:r>
        <w:rPr>
          <w:rFonts w:cs="Arial"/>
          <w:szCs w:val="24"/>
        </w:rPr>
        <w:t xml:space="preserve"> at quarter 2</w:t>
      </w:r>
      <w:r w:rsidR="007475D5">
        <w:rPr>
          <w:rFonts w:cs="Arial"/>
          <w:szCs w:val="24"/>
        </w:rPr>
        <w:t xml:space="preserve">, </w:t>
      </w:r>
      <w:r w:rsidRPr="00DD6AC4">
        <w:rPr>
          <w:rFonts w:cs="Arial"/>
          <w:szCs w:val="24"/>
        </w:rPr>
        <w:t xml:space="preserve">The increase relates to </w:t>
      </w:r>
      <w:r w:rsidRPr="007475D5">
        <w:rPr>
          <w:rFonts w:cs="Arial"/>
          <w:szCs w:val="24"/>
        </w:rPr>
        <w:t>£26k</w:t>
      </w:r>
      <w:r w:rsidRPr="00DD6AC4">
        <w:rPr>
          <w:rFonts w:cs="Arial"/>
          <w:szCs w:val="24"/>
        </w:rPr>
        <w:t xml:space="preserve"> forecast public inquiry costs in relation to </w:t>
      </w:r>
      <w:r w:rsidR="00027425">
        <w:rPr>
          <w:rFonts w:cs="Arial"/>
          <w:szCs w:val="24"/>
        </w:rPr>
        <w:t xml:space="preserve">a </w:t>
      </w:r>
      <w:r w:rsidRPr="00DD6AC4">
        <w:rPr>
          <w:rFonts w:cs="Arial"/>
          <w:szCs w:val="24"/>
        </w:rPr>
        <w:t>John Lyon</w:t>
      </w:r>
      <w:r w:rsidR="00027425">
        <w:rPr>
          <w:rFonts w:cs="Arial"/>
          <w:szCs w:val="24"/>
        </w:rPr>
        <w:t>’s</w:t>
      </w:r>
      <w:r w:rsidRPr="00DD6AC4">
        <w:rPr>
          <w:rFonts w:cs="Arial"/>
          <w:szCs w:val="24"/>
        </w:rPr>
        <w:t xml:space="preserve"> s106 application coupled with a forecast under recovery of building control income </w:t>
      </w:r>
      <w:r w:rsidR="00027425">
        <w:rPr>
          <w:rFonts w:cs="Arial"/>
          <w:szCs w:val="24"/>
        </w:rPr>
        <w:t xml:space="preserve">of </w:t>
      </w:r>
      <w:r w:rsidRPr="00DD6AC4">
        <w:rPr>
          <w:rFonts w:cs="Arial"/>
          <w:szCs w:val="24"/>
        </w:rPr>
        <w:t>£43k mainly as a result of the delayed introduction of increased building control fees</w:t>
      </w:r>
      <w:r>
        <w:rPr>
          <w:rFonts w:cs="Arial"/>
          <w:szCs w:val="24"/>
        </w:rPr>
        <w:t>.</w:t>
      </w:r>
    </w:p>
    <w:p w14:paraId="36C06C3F" w14:textId="1E1D71F7" w:rsidR="00DD6AC4" w:rsidRDefault="00027425" w:rsidP="00F650D7">
      <w:pPr>
        <w:pStyle w:val="ListParagraph"/>
        <w:numPr>
          <w:ilvl w:val="1"/>
          <w:numId w:val="16"/>
        </w:numPr>
        <w:spacing w:after="240"/>
        <w:ind w:left="709" w:hanging="709"/>
        <w:jc w:val="both"/>
        <w:rPr>
          <w:rFonts w:cs="Arial"/>
          <w:szCs w:val="24"/>
        </w:rPr>
      </w:pPr>
      <w:r w:rsidRPr="009C512C">
        <w:rPr>
          <w:rFonts w:cs="Arial"/>
          <w:b/>
          <w:szCs w:val="24"/>
        </w:rPr>
        <w:t xml:space="preserve"> </w:t>
      </w:r>
      <w:r w:rsidR="009C512C" w:rsidRPr="009C512C">
        <w:rPr>
          <w:rFonts w:cs="Arial"/>
          <w:b/>
          <w:szCs w:val="24"/>
        </w:rPr>
        <w:t>(</w:t>
      </w:r>
      <w:r w:rsidR="00DD6AC4" w:rsidRPr="009C512C">
        <w:rPr>
          <w:rFonts w:cs="Arial"/>
          <w:b/>
          <w:szCs w:val="24"/>
        </w:rPr>
        <w:t>£222k</w:t>
      </w:r>
      <w:r w:rsidR="009C512C">
        <w:rPr>
          <w:rFonts w:cs="Arial"/>
          <w:szCs w:val="24"/>
        </w:rPr>
        <w:t>)</w:t>
      </w:r>
      <w:r w:rsidR="00DD6AC4" w:rsidRPr="00DD6AC4">
        <w:rPr>
          <w:rFonts w:cs="Arial"/>
          <w:szCs w:val="24"/>
        </w:rPr>
        <w:t xml:space="preserve"> one off in year savings has been identified as part of the spending protocol. The directorate is currently on track of delivering these cost reductions / additional income</w:t>
      </w:r>
      <w:r w:rsidR="00DD6AC4">
        <w:rPr>
          <w:rFonts w:cs="Arial"/>
          <w:szCs w:val="24"/>
        </w:rPr>
        <w:t>.</w:t>
      </w:r>
    </w:p>
    <w:p w14:paraId="615EFA38" w14:textId="77777777" w:rsidR="006A0E09" w:rsidRDefault="006A0E09" w:rsidP="00F650D7">
      <w:pPr>
        <w:ind w:left="360" w:hanging="360"/>
        <w:jc w:val="both"/>
        <w:rPr>
          <w:b/>
          <w:u w:val="single"/>
        </w:rPr>
      </w:pPr>
    </w:p>
    <w:p w14:paraId="33E57355" w14:textId="77777777" w:rsidR="00C85CF6" w:rsidRDefault="00C85CF6" w:rsidP="00F650D7">
      <w:pPr>
        <w:ind w:left="360" w:hanging="360"/>
        <w:jc w:val="both"/>
        <w:rPr>
          <w:b/>
          <w:u w:val="single"/>
        </w:rPr>
      </w:pPr>
    </w:p>
    <w:p w14:paraId="13B20E3D" w14:textId="77777777" w:rsidR="007A2234" w:rsidRDefault="007A2234" w:rsidP="00F650D7">
      <w:pPr>
        <w:ind w:left="360" w:hanging="360"/>
        <w:jc w:val="both"/>
        <w:rPr>
          <w:b/>
          <w:u w:val="single"/>
        </w:rPr>
      </w:pPr>
      <w:r w:rsidRPr="008A73C4">
        <w:rPr>
          <w:b/>
          <w:u w:val="single"/>
        </w:rPr>
        <w:t>CORPORATE BUDGETS</w:t>
      </w:r>
      <w:bookmarkEnd w:id="4"/>
    </w:p>
    <w:p w14:paraId="30D8FB93" w14:textId="77777777" w:rsidR="000652E0" w:rsidRPr="008A73C4" w:rsidRDefault="000652E0" w:rsidP="00F650D7">
      <w:pPr>
        <w:ind w:left="360" w:hanging="360"/>
        <w:jc w:val="both"/>
        <w:rPr>
          <w:u w:val="single"/>
        </w:rPr>
      </w:pPr>
    </w:p>
    <w:p w14:paraId="45C927FA" w14:textId="7EE14D08" w:rsidR="004A2B66" w:rsidRDefault="00A92E5B" w:rsidP="001F1E67">
      <w:pPr>
        <w:pStyle w:val="ListParagraph"/>
        <w:numPr>
          <w:ilvl w:val="1"/>
          <w:numId w:val="16"/>
        </w:numPr>
        <w:spacing w:after="120"/>
        <w:ind w:left="709" w:hanging="709"/>
        <w:jc w:val="both"/>
      </w:pPr>
      <w:r w:rsidRPr="00A92E5B">
        <w:t>Corporate budgets are forecast to underspend by £1.361m</w:t>
      </w:r>
      <w:r>
        <w:t>.  This has increased by £1.157m</w:t>
      </w:r>
      <w:r w:rsidRPr="00A92E5B">
        <w:t xml:space="preserve"> since </w:t>
      </w:r>
      <w:r>
        <w:t>quarter 2</w:t>
      </w:r>
      <w:r w:rsidR="004A2B66">
        <w:t>. Th</w:t>
      </w:r>
      <w:r w:rsidR="0061014B">
        <w:t xml:space="preserve">e increase in the underspend </w:t>
      </w:r>
      <w:r w:rsidR="004A2B66">
        <w:t>is</w:t>
      </w:r>
      <w:r w:rsidR="0061014B">
        <w:t xml:space="preserve"> mainly as a result of:</w:t>
      </w:r>
    </w:p>
    <w:p w14:paraId="0191D5BD" w14:textId="0E170741" w:rsidR="00D0359B" w:rsidRDefault="004A2B66" w:rsidP="001F1E67">
      <w:pPr>
        <w:pStyle w:val="ListParagraph"/>
        <w:numPr>
          <w:ilvl w:val="0"/>
          <w:numId w:val="21"/>
        </w:numPr>
        <w:spacing w:after="120"/>
        <w:ind w:left="757"/>
        <w:jc w:val="both"/>
      </w:pPr>
      <w:r>
        <w:t>Reduction in</w:t>
      </w:r>
      <w:r w:rsidR="00D0359B">
        <w:t xml:space="preserve"> the interest payable that is now been forecast due to slippage and underspend in the Capital Programme (£573k)</w:t>
      </w:r>
      <w:r w:rsidR="00A51DA2">
        <w:t>.</w:t>
      </w:r>
    </w:p>
    <w:p w14:paraId="372FCA2B" w14:textId="1163589F" w:rsidR="004A2B66" w:rsidRDefault="00D0359B" w:rsidP="008D06CF">
      <w:pPr>
        <w:pStyle w:val="ListParagraph"/>
        <w:numPr>
          <w:ilvl w:val="0"/>
          <w:numId w:val="21"/>
        </w:numPr>
        <w:spacing w:after="240"/>
        <w:ind w:left="757"/>
        <w:jc w:val="both"/>
      </w:pPr>
      <w:r>
        <w:t>Unallocated Pay and utility inflation budget (</w:t>
      </w:r>
      <w:r w:rsidR="0090499D">
        <w:t>£</w:t>
      </w:r>
      <w:r>
        <w:t>565k).</w:t>
      </w:r>
      <w:r w:rsidR="004A2B66">
        <w:t xml:space="preserve"> </w:t>
      </w:r>
    </w:p>
    <w:p w14:paraId="725E6884" w14:textId="118390F9" w:rsidR="007A2234" w:rsidRPr="00C22A38" w:rsidRDefault="0061014B" w:rsidP="00F650D7">
      <w:pPr>
        <w:pStyle w:val="Heading4"/>
        <w:spacing w:after="240"/>
        <w:ind w:firstLine="709"/>
        <w:jc w:val="both"/>
        <w:rPr>
          <w:b w:val="0"/>
          <w:u w:val="single"/>
        </w:rPr>
      </w:pPr>
      <w:r>
        <w:rPr>
          <w:b w:val="0"/>
          <w:u w:val="single"/>
        </w:rPr>
        <w:t>C</w:t>
      </w:r>
      <w:r w:rsidR="007A2234" w:rsidRPr="00C22A38">
        <w:rPr>
          <w:b w:val="0"/>
          <w:u w:val="single"/>
        </w:rPr>
        <w:t>ontingencies and Reserves</w:t>
      </w:r>
    </w:p>
    <w:p w14:paraId="2ADC7D80" w14:textId="77777777" w:rsidR="007A2234" w:rsidRDefault="007A2234" w:rsidP="008D06CF">
      <w:pPr>
        <w:pStyle w:val="Heading4"/>
        <w:ind w:firstLine="709"/>
        <w:jc w:val="both"/>
      </w:pPr>
      <w:r w:rsidRPr="00BE3735">
        <w:t>Central Contingency</w:t>
      </w:r>
    </w:p>
    <w:p w14:paraId="67C76067" w14:textId="77777777" w:rsidR="00EE65BB" w:rsidRPr="008B25B2" w:rsidRDefault="00EE65BB" w:rsidP="00F650D7">
      <w:pPr>
        <w:jc w:val="both"/>
      </w:pPr>
    </w:p>
    <w:p w14:paraId="66CA4581" w14:textId="77777777" w:rsidR="00824451" w:rsidRPr="009E22B0" w:rsidRDefault="007A2234" w:rsidP="00F650D7">
      <w:pPr>
        <w:pStyle w:val="ListParagraph"/>
        <w:numPr>
          <w:ilvl w:val="1"/>
          <w:numId w:val="16"/>
        </w:numPr>
        <w:spacing w:after="240"/>
        <w:ind w:left="709" w:hanging="709"/>
        <w:jc w:val="both"/>
        <w:rPr>
          <w:b/>
        </w:rPr>
      </w:pPr>
      <w:r w:rsidRPr="00BE3735">
        <w:t>The Central Contingency for unforeseen items in 2016</w:t>
      </w:r>
      <w:r w:rsidR="00950098">
        <w:t>/17</w:t>
      </w:r>
      <w:r w:rsidRPr="00BE3735">
        <w:t xml:space="preserve"> is £</w:t>
      </w:r>
      <w:r w:rsidR="00950098">
        <w:t>1.329</w:t>
      </w:r>
      <w:r w:rsidRPr="00BE3735">
        <w:t xml:space="preserve">m. </w:t>
      </w:r>
      <w:r w:rsidR="00EE65BB">
        <w:tab/>
      </w:r>
      <w:r w:rsidR="009F1CB6">
        <w:t xml:space="preserve">This will be used in full to mitigate directorate pressures. </w:t>
      </w:r>
      <w:r w:rsidRPr="00BE3735">
        <w:t xml:space="preserve"> </w:t>
      </w:r>
    </w:p>
    <w:p w14:paraId="78D949E4" w14:textId="77777777" w:rsidR="00827664" w:rsidRDefault="00741AEB" w:rsidP="008D06CF">
      <w:pPr>
        <w:pStyle w:val="Heading3"/>
        <w:ind w:left="0" w:firstLine="709"/>
        <w:rPr>
          <w:i w:val="0"/>
        </w:rPr>
      </w:pPr>
      <w:r w:rsidRPr="006B1DE1">
        <w:rPr>
          <w:i w:val="0"/>
        </w:rPr>
        <w:t>Contingencies and Reserves</w:t>
      </w:r>
      <w:r w:rsidR="00E63ECB">
        <w:rPr>
          <w:i w:val="0"/>
        </w:rPr>
        <w:tab/>
      </w:r>
    </w:p>
    <w:p w14:paraId="42F49C79" w14:textId="77777777" w:rsidR="00EE65BB" w:rsidRPr="009E22B0" w:rsidRDefault="00EE65BB" w:rsidP="00F650D7">
      <w:pPr>
        <w:jc w:val="both"/>
        <w:rPr>
          <w:i/>
        </w:rPr>
      </w:pPr>
    </w:p>
    <w:p w14:paraId="3D23B655" w14:textId="5BE5F322" w:rsidR="00741AEB" w:rsidRPr="00EE65BB" w:rsidRDefault="00741AEB" w:rsidP="001F1E67">
      <w:pPr>
        <w:pStyle w:val="ListParagraph"/>
        <w:numPr>
          <w:ilvl w:val="1"/>
          <w:numId w:val="16"/>
        </w:numPr>
        <w:spacing w:after="120"/>
        <w:ind w:left="709" w:hanging="709"/>
        <w:jc w:val="both"/>
        <w:rPr>
          <w:rFonts w:cs="Arial"/>
        </w:rPr>
      </w:pPr>
      <w:r w:rsidRPr="006B1DE1">
        <w:t xml:space="preserve">The contingencies are there to cover unavoidable </w:t>
      </w:r>
      <w:r w:rsidR="00A51DA2">
        <w:t xml:space="preserve">spending </w:t>
      </w:r>
      <w:r w:rsidRPr="006B1DE1">
        <w:t>pressures</w:t>
      </w:r>
      <w:r w:rsidR="008157BA" w:rsidRPr="006B1DE1">
        <w:t xml:space="preserve"> together</w:t>
      </w:r>
      <w:r w:rsidRPr="006B1DE1">
        <w:t xml:space="preserve"> with other unforeseen items</w:t>
      </w:r>
      <w:r w:rsidR="00182EFE">
        <w:t xml:space="preserve">, </w:t>
      </w:r>
      <w:r w:rsidRPr="006B1DE1">
        <w:t>areas of risk and uncertainty</w:t>
      </w:r>
      <w:r w:rsidR="002E2CEA">
        <w:t xml:space="preserve"> and unmitigated equalities implications</w:t>
      </w:r>
      <w:r w:rsidRPr="006B1DE1">
        <w:t xml:space="preserve">.  There are also </w:t>
      </w:r>
      <w:r w:rsidR="00E13D48">
        <w:t xml:space="preserve">a number of </w:t>
      </w:r>
      <w:r w:rsidRPr="006B1DE1">
        <w:t xml:space="preserve">specific reserves for </w:t>
      </w:r>
      <w:r w:rsidR="00E13D48">
        <w:t xml:space="preserve">a variety of purposes as identified in </w:t>
      </w:r>
      <w:r w:rsidR="00A51DA2">
        <w:t>table 2</w:t>
      </w:r>
      <w:r w:rsidR="00E13D48">
        <w:t xml:space="preserve"> below. </w:t>
      </w:r>
    </w:p>
    <w:p w14:paraId="1E16B5B2" w14:textId="1980E452" w:rsidR="00741AEB" w:rsidRDefault="00E13D48" w:rsidP="00F650D7">
      <w:pPr>
        <w:pStyle w:val="ListParagraph"/>
        <w:numPr>
          <w:ilvl w:val="1"/>
          <w:numId w:val="16"/>
        </w:numPr>
        <w:spacing w:after="240"/>
        <w:ind w:left="709" w:hanging="709"/>
        <w:jc w:val="both"/>
        <w:rPr>
          <w:rFonts w:cs="Arial"/>
        </w:rPr>
      </w:pPr>
      <w:r w:rsidRPr="000652E0">
        <w:rPr>
          <w:rFonts w:cs="Arial"/>
        </w:rPr>
        <w:lastRenderedPageBreak/>
        <w:t xml:space="preserve">The main changes </w:t>
      </w:r>
      <w:r w:rsidR="00DE5AED">
        <w:rPr>
          <w:rFonts w:cs="Arial"/>
        </w:rPr>
        <w:t xml:space="preserve">to these reserves </w:t>
      </w:r>
      <w:r w:rsidRPr="000652E0">
        <w:rPr>
          <w:rFonts w:cs="Arial"/>
        </w:rPr>
        <w:t>are</w:t>
      </w:r>
      <w:r w:rsidR="00C02C5E" w:rsidRPr="000652E0">
        <w:rPr>
          <w:rFonts w:cs="Arial"/>
        </w:rPr>
        <w:t xml:space="preserve"> the </w:t>
      </w:r>
      <w:r w:rsidR="00F63C15" w:rsidRPr="000652E0">
        <w:rPr>
          <w:rFonts w:cs="Arial"/>
        </w:rPr>
        <w:t>assumed drawdowns</w:t>
      </w:r>
      <w:r w:rsidRPr="000652E0">
        <w:rPr>
          <w:rFonts w:cs="Arial"/>
        </w:rPr>
        <w:t xml:space="preserve"> </w:t>
      </w:r>
      <w:r w:rsidR="00C02C5E" w:rsidRPr="000652E0">
        <w:rPr>
          <w:rFonts w:cs="Arial"/>
        </w:rPr>
        <w:t xml:space="preserve"> listed in the table below</w:t>
      </w:r>
      <w:r w:rsidR="00F77E61" w:rsidRPr="000652E0">
        <w:rPr>
          <w:rFonts w:cs="Arial"/>
        </w:rPr>
        <w:t>:</w:t>
      </w:r>
    </w:p>
    <w:p w14:paraId="684526D5" w14:textId="40A383D5" w:rsidR="00741AEB" w:rsidRDefault="002C67F2" w:rsidP="00F650D7">
      <w:pPr>
        <w:spacing w:after="240"/>
        <w:jc w:val="both"/>
        <w:rPr>
          <w:b/>
          <w:u w:val="single"/>
        </w:rPr>
      </w:pPr>
      <w:r>
        <w:rPr>
          <w:b/>
          <w:u w:val="single"/>
        </w:rPr>
        <w:t>T</w:t>
      </w:r>
      <w:r w:rsidR="00741AEB" w:rsidRPr="006B1DE1">
        <w:rPr>
          <w:b/>
          <w:u w:val="single"/>
        </w:rPr>
        <w:t xml:space="preserve">able </w:t>
      </w:r>
      <w:r w:rsidR="00027425">
        <w:rPr>
          <w:b/>
          <w:u w:val="single"/>
        </w:rPr>
        <w:t>7:</w:t>
      </w:r>
      <w:r w:rsidR="00A81CE0">
        <w:rPr>
          <w:b/>
          <w:u w:val="single"/>
        </w:rPr>
        <w:t xml:space="preserve"> </w:t>
      </w:r>
      <w:r w:rsidR="00741AEB" w:rsidRPr="006B1DE1">
        <w:rPr>
          <w:b/>
          <w:u w:val="single"/>
        </w:rPr>
        <w:t>Contingencies and Earmarked Reserves</w:t>
      </w:r>
    </w:p>
    <w:p w14:paraId="3FEFA9EC" w14:textId="0086B5EC" w:rsidR="00C219D6" w:rsidRDefault="00F71339" w:rsidP="00741AEB">
      <w:pPr>
        <w:spacing w:after="240"/>
        <w:jc w:val="both"/>
        <w:rPr>
          <w:b/>
          <w:u w:val="single"/>
        </w:rPr>
      </w:pPr>
      <w:r w:rsidRPr="00F71339">
        <w:rPr>
          <w:noProof/>
          <w:lang w:eastAsia="en-GB"/>
        </w:rPr>
        <w:drawing>
          <wp:inline distT="0" distB="0" distL="0" distR="0" wp14:anchorId="6338ADEF" wp14:editId="757511EE">
            <wp:extent cx="5911913" cy="3395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9959" cy="3393927"/>
                    </a:xfrm>
                    <a:prstGeom prst="rect">
                      <a:avLst/>
                    </a:prstGeom>
                    <a:noFill/>
                    <a:ln>
                      <a:noFill/>
                    </a:ln>
                  </pic:spPr>
                </pic:pic>
              </a:graphicData>
            </a:graphic>
          </wp:inline>
        </w:drawing>
      </w:r>
    </w:p>
    <w:p w14:paraId="7F586743" w14:textId="77777777" w:rsidR="005C4CB8" w:rsidRDefault="005C4CB8" w:rsidP="00CE10BA">
      <w:pPr>
        <w:ind w:right="489" w:firstLine="720"/>
        <w:jc w:val="both"/>
        <w:rPr>
          <w:rFonts w:cs="Arial"/>
          <w:b/>
          <w:u w:val="single"/>
        </w:rPr>
      </w:pPr>
    </w:p>
    <w:p w14:paraId="5CBED0B6" w14:textId="77777777" w:rsidR="00741AEB" w:rsidRDefault="00741AEB" w:rsidP="008D06CF">
      <w:pPr>
        <w:ind w:firstLine="720"/>
        <w:jc w:val="both"/>
        <w:rPr>
          <w:rFonts w:cs="Arial"/>
          <w:b/>
          <w:u w:val="single"/>
        </w:rPr>
      </w:pPr>
      <w:r w:rsidRPr="006B1DE1">
        <w:rPr>
          <w:rFonts w:cs="Arial"/>
          <w:b/>
          <w:u w:val="single"/>
        </w:rPr>
        <w:t xml:space="preserve">MTFS </w:t>
      </w:r>
      <w:r w:rsidR="00A81CE0">
        <w:rPr>
          <w:rFonts w:cs="Arial"/>
          <w:b/>
          <w:u w:val="single"/>
        </w:rPr>
        <w:t xml:space="preserve">SAVINGS </w:t>
      </w:r>
      <w:r w:rsidRPr="006B1DE1">
        <w:rPr>
          <w:rFonts w:cs="Arial"/>
          <w:b/>
          <w:u w:val="single"/>
        </w:rPr>
        <w:t>TRACKER</w:t>
      </w:r>
    </w:p>
    <w:p w14:paraId="1F59C922" w14:textId="77777777" w:rsidR="009D1039" w:rsidRPr="006B1DE1" w:rsidRDefault="009D1039" w:rsidP="00741AEB">
      <w:pPr>
        <w:ind w:right="489"/>
        <w:jc w:val="both"/>
        <w:rPr>
          <w:rFonts w:cs="Arial"/>
          <w:b/>
          <w:u w:val="single"/>
        </w:rPr>
      </w:pPr>
    </w:p>
    <w:p w14:paraId="5285F039" w14:textId="7DB5E2C7" w:rsidR="00741AEB" w:rsidRDefault="000652E0" w:rsidP="000652E0">
      <w:pPr>
        <w:spacing w:after="240"/>
        <w:ind w:left="720" w:hanging="720"/>
        <w:jc w:val="both"/>
      </w:pPr>
      <w:r>
        <w:t>2.4</w:t>
      </w:r>
      <w:r w:rsidR="005B4870">
        <w:t>4</w:t>
      </w:r>
      <w:r>
        <w:tab/>
      </w:r>
      <w:r w:rsidR="00741AEB" w:rsidRPr="006B1DE1">
        <w:t>The 2016</w:t>
      </w:r>
      <w:r w:rsidR="001E7B76">
        <w:t>/17</w:t>
      </w:r>
      <w:r w:rsidR="00741AEB" w:rsidRPr="006B1DE1">
        <w:t xml:space="preserve"> budget includes approved MTFS savings of </w:t>
      </w:r>
      <w:r w:rsidR="00741AEB" w:rsidRPr="00C93368">
        <w:rPr>
          <w:b/>
        </w:rPr>
        <w:t>£1</w:t>
      </w:r>
      <w:r w:rsidR="00A81CE0" w:rsidRPr="00C93368">
        <w:rPr>
          <w:b/>
        </w:rPr>
        <w:t>7</w:t>
      </w:r>
      <w:r w:rsidR="001E7B76" w:rsidRPr="00C93368">
        <w:rPr>
          <w:b/>
        </w:rPr>
        <w:t>.553</w:t>
      </w:r>
      <w:r w:rsidR="00741AEB" w:rsidRPr="00C93368">
        <w:rPr>
          <w:b/>
        </w:rPr>
        <w:t>m</w:t>
      </w:r>
      <w:r w:rsidR="00741AEB" w:rsidRPr="006B1DE1">
        <w:t xml:space="preserve">.  The progress on implementation </w:t>
      </w:r>
      <w:r w:rsidR="00DE5AED">
        <w:t xml:space="preserve">of these savings </w:t>
      </w:r>
      <w:r w:rsidR="00E63A6F">
        <w:t>is summarised below</w:t>
      </w:r>
      <w:r w:rsidR="00741AEB" w:rsidRPr="006B1DE1">
        <w:t xml:space="preserve"> in table </w:t>
      </w:r>
      <w:r w:rsidR="00027425">
        <w:t>8</w:t>
      </w:r>
      <w:r w:rsidR="00741AEB" w:rsidRPr="006B1DE1">
        <w:t xml:space="preserve"> and shown in more detail in Appendix 2</w:t>
      </w:r>
      <w:r w:rsidR="00F77E61">
        <w:t xml:space="preserve">.  </w:t>
      </w:r>
      <w:r w:rsidR="00DE5AED">
        <w:t>As at the end of September</w:t>
      </w:r>
      <w:r w:rsidR="00A51DA2">
        <w:t>, Quarter 2</w:t>
      </w:r>
      <w:r w:rsidR="001122DA">
        <w:t xml:space="preserve">, </w:t>
      </w:r>
      <w:r w:rsidR="00612BC3">
        <w:t>36</w:t>
      </w:r>
      <w:r w:rsidR="00E121EB">
        <w:t>% of savings have already been ba</w:t>
      </w:r>
      <w:r w:rsidR="00221EBE">
        <w:t>nked (blue savings), 56</w:t>
      </w:r>
      <w:r w:rsidR="00E121EB">
        <w:t>% of savings (green and amber) are on tra</w:t>
      </w:r>
      <w:r w:rsidR="00CE4AD3">
        <w:t>ck or partially achieved, with 8</w:t>
      </w:r>
      <w:r w:rsidR="00E121EB">
        <w:t>% of savings being declared as red.</w:t>
      </w:r>
    </w:p>
    <w:p w14:paraId="6EBB0D8B" w14:textId="7F5D4E89" w:rsidR="00025ABE" w:rsidRDefault="00027425" w:rsidP="008D06CF">
      <w:pPr>
        <w:ind w:firstLine="720"/>
        <w:rPr>
          <w:rFonts w:cs="Arial"/>
          <w:b/>
          <w:szCs w:val="24"/>
          <w:u w:val="single"/>
        </w:rPr>
      </w:pPr>
      <w:r>
        <w:rPr>
          <w:rFonts w:cs="Arial"/>
          <w:b/>
          <w:szCs w:val="24"/>
          <w:u w:val="single"/>
        </w:rPr>
        <w:t>Table 8</w:t>
      </w:r>
      <w:r w:rsidR="00E20DFD">
        <w:rPr>
          <w:rFonts w:cs="Arial"/>
          <w:b/>
          <w:szCs w:val="24"/>
          <w:u w:val="single"/>
        </w:rPr>
        <w:t xml:space="preserve"> MTFS Tracker</w:t>
      </w:r>
    </w:p>
    <w:p w14:paraId="729334B2" w14:textId="59412223" w:rsidR="00E121EB" w:rsidRDefault="008D06CF" w:rsidP="00741AEB">
      <w:pPr>
        <w:rPr>
          <w:rFonts w:cs="Arial"/>
          <w:b/>
          <w:szCs w:val="24"/>
          <w:u w:val="single"/>
        </w:rPr>
      </w:pPr>
      <w:r>
        <w:t xml:space="preserve">           </w:t>
      </w:r>
    </w:p>
    <w:p w14:paraId="694107FD" w14:textId="1C1B6B89" w:rsidR="00B51F06" w:rsidRDefault="00643CDB" w:rsidP="00741AEB">
      <w:pPr>
        <w:rPr>
          <w:rFonts w:cs="Arial"/>
          <w:b/>
          <w:szCs w:val="24"/>
          <w:u w:val="single"/>
        </w:rPr>
      </w:pPr>
      <w:r w:rsidRPr="00643CDB">
        <w:rPr>
          <w:noProof/>
          <w:lang w:eastAsia="en-GB"/>
        </w:rPr>
        <w:drawing>
          <wp:inline distT="0" distB="0" distL="0" distR="0" wp14:anchorId="2E8E48B3" wp14:editId="0DBAC329">
            <wp:extent cx="5296277" cy="1638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108" cy="1638935"/>
                    </a:xfrm>
                    <a:prstGeom prst="rect">
                      <a:avLst/>
                    </a:prstGeom>
                    <a:noFill/>
                    <a:ln>
                      <a:noFill/>
                    </a:ln>
                  </pic:spPr>
                </pic:pic>
              </a:graphicData>
            </a:graphic>
          </wp:inline>
        </w:drawing>
      </w:r>
    </w:p>
    <w:p w14:paraId="50DDAD92" w14:textId="77777777" w:rsidR="00643CDB" w:rsidRDefault="00643CDB" w:rsidP="008D06CF">
      <w:pPr>
        <w:ind w:left="142" w:firstLine="567"/>
        <w:jc w:val="both"/>
        <w:rPr>
          <w:rFonts w:cs="Arial"/>
          <w:szCs w:val="24"/>
        </w:rPr>
      </w:pPr>
    </w:p>
    <w:p w14:paraId="107994DA" w14:textId="18826EF9" w:rsidR="00B51F06" w:rsidRDefault="00B51F06" w:rsidP="008D06CF">
      <w:pPr>
        <w:ind w:left="142" w:firstLine="567"/>
        <w:jc w:val="both"/>
        <w:rPr>
          <w:rFonts w:cs="Arial"/>
          <w:szCs w:val="24"/>
        </w:rPr>
      </w:pPr>
      <w:r w:rsidRPr="00B51F06">
        <w:rPr>
          <w:rFonts w:cs="Arial"/>
          <w:szCs w:val="24"/>
        </w:rPr>
        <w:t xml:space="preserve">The </w:t>
      </w:r>
      <w:r w:rsidR="00027425">
        <w:rPr>
          <w:rFonts w:cs="Arial"/>
          <w:szCs w:val="24"/>
        </w:rPr>
        <w:t>movement between Q1 and Q2 is</w:t>
      </w:r>
      <w:r>
        <w:rPr>
          <w:rFonts w:cs="Arial"/>
          <w:szCs w:val="24"/>
        </w:rPr>
        <w:t xml:space="preserve"> detailed below:</w:t>
      </w:r>
    </w:p>
    <w:p w14:paraId="0624124E" w14:textId="77777777" w:rsidR="00B51F06" w:rsidRDefault="00B51F06" w:rsidP="00F650D7">
      <w:pPr>
        <w:jc w:val="both"/>
        <w:rPr>
          <w:rFonts w:cs="Arial"/>
          <w:szCs w:val="24"/>
        </w:rPr>
      </w:pPr>
    </w:p>
    <w:p w14:paraId="264E5F43" w14:textId="41347BC6" w:rsidR="00027425" w:rsidRPr="00FD7191" w:rsidRDefault="0042411C" w:rsidP="00F650D7">
      <w:pPr>
        <w:pStyle w:val="ListParagraph"/>
        <w:numPr>
          <w:ilvl w:val="1"/>
          <w:numId w:val="25"/>
        </w:numPr>
        <w:spacing w:after="120"/>
        <w:ind w:left="709" w:hanging="709"/>
        <w:jc w:val="both"/>
        <w:rPr>
          <w:rFonts w:cs="Arial"/>
          <w:szCs w:val="24"/>
        </w:rPr>
      </w:pPr>
      <w:r w:rsidRPr="00FD7191">
        <w:rPr>
          <w:rFonts w:cs="Arial"/>
          <w:szCs w:val="24"/>
        </w:rPr>
        <w:t xml:space="preserve">The Red savings has increased by </w:t>
      </w:r>
      <w:r w:rsidRPr="00FD7191">
        <w:rPr>
          <w:rFonts w:cs="Arial"/>
          <w:b/>
          <w:bCs/>
          <w:szCs w:val="24"/>
        </w:rPr>
        <w:t>£515k</w:t>
      </w:r>
      <w:r w:rsidRPr="00FD7191">
        <w:rPr>
          <w:rFonts w:cs="Arial"/>
          <w:szCs w:val="24"/>
        </w:rPr>
        <w:t xml:space="preserve">, as a result of the decision to explore other options for delivering the arts &amp; heritage service. </w:t>
      </w:r>
    </w:p>
    <w:p w14:paraId="45C9DAAA" w14:textId="77777777" w:rsidR="00E63A6F" w:rsidRDefault="00B51F06" w:rsidP="00F650D7">
      <w:pPr>
        <w:pStyle w:val="ListParagraph"/>
        <w:numPr>
          <w:ilvl w:val="1"/>
          <w:numId w:val="25"/>
        </w:numPr>
        <w:ind w:left="709" w:right="87" w:hanging="709"/>
        <w:jc w:val="both"/>
        <w:rPr>
          <w:rFonts w:cs="Arial"/>
          <w:szCs w:val="24"/>
        </w:rPr>
      </w:pPr>
      <w:r>
        <w:rPr>
          <w:rFonts w:cs="Arial"/>
          <w:szCs w:val="24"/>
        </w:rPr>
        <w:lastRenderedPageBreak/>
        <w:t>Amber savings ha</w:t>
      </w:r>
      <w:r w:rsidR="00027425">
        <w:rPr>
          <w:rFonts w:cs="Arial"/>
          <w:szCs w:val="24"/>
        </w:rPr>
        <w:t>ve</w:t>
      </w:r>
      <w:r>
        <w:rPr>
          <w:rFonts w:cs="Arial"/>
          <w:szCs w:val="24"/>
        </w:rPr>
        <w:t xml:space="preserve"> reduced by </w:t>
      </w:r>
      <w:r w:rsidRPr="00C93368">
        <w:rPr>
          <w:rFonts w:cs="Arial"/>
          <w:b/>
          <w:szCs w:val="24"/>
        </w:rPr>
        <w:t>£1.110m</w:t>
      </w:r>
      <w:r w:rsidR="00C93368">
        <w:rPr>
          <w:rFonts w:cs="Arial"/>
          <w:szCs w:val="24"/>
        </w:rPr>
        <w:t xml:space="preserve">. </w:t>
      </w:r>
      <w:r w:rsidR="00673E50">
        <w:rPr>
          <w:rFonts w:cs="Arial"/>
          <w:szCs w:val="24"/>
        </w:rPr>
        <w:t xml:space="preserve"> </w:t>
      </w:r>
      <w:r w:rsidR="00C93368">
        <w:rPr>
          <w:rFonts w:cs="Arial"/>
          <w:szCs w:val="24"/>
        </w:rPr>
        <w:t>£515k of this relates to the C</w:t>
      </w:r>
      <w:r>
        <w:rPr>
          <w:rFonts w:cs="Arial"/>
          <w:szCs w:val="24"/>
        </w:rPr>
        <w:t>ultur</w:t>
      </w:r>
      <w:r w:rsidR="00C93368">
        <w:rPr>
          <w:rFonts w:cs="Arial"/>
          <w:szCs w:val="24"/>
        </w:rPr>
        <w:t xml:space="preserve">a savings explained above </w:t>
      </w:r>
      <w:r w:rsidR="00113B0F">
        <w:rPr>
          <w:rFonts w:cs="Arial"/>
          <w:szCs w:val="24"/>
        </w:rPr>
        <w:t xml:space="preserve">which </w:t>
      </w:r>
      <w:r w:rsidR="00D42F5C">
        <w:rPr>
          <w:rFonts w:cs="Arial"/>
          <w:szCs w:val="24"/>
        </w:rPr>
        <w:t xml:space="preserve">is now rated as </w:t>
      </w:r>
      <w:r w:rsidR="00C93368">
        <w:rPr>
          <w:rFonts w:cs="Arial"/>
          <w:szCs w:val="24"/>
        </w:rPr>
        <w:t>red.</w:t>
      </w:r>
    </w:p>
    <w:p w14:paraId="4C25C248" w14:textId="493C0A58" w:rsidR="00E63A6F" w:rsidRDefault="00C93368" w:rsidP="00F650D7">
      <w:pPr>
        <w:pStyle w:val="ListParagraph"/>
        <w:numPr>
          <w:ilvl w:val="1"/>
          <w:numId w:val="25"/>
        </w:numPr>
        <w:ind w:left="709" w:right="87" w:hanging="709"/>
        <w:jc w:val="both"/>
        <w:rPr>
          <w:rFonts w:cs="Arial"/>
          <w:szCs w:val="24"/>
        </w:rPr>
      </w:pPr>
      <w:r w:rsidRPr="00E63A6F">
        <w:rPr>
          <w:rFonts w:cs="Arial"/>
          <w:szCs w:val="24"/>
        </w:rPr>
        <w:t>S</w:t>
      </w:r>
      <w:r w:rsidR="00612BC3" w:rsidRPr="00E63A6F">
        <w:rPr>
          <w:rFonts w:cs="Arial"/>
          <w:szCs w:val="24"/>
        </w:rPr>
        <w:t>avings of £595</w:t>
      </w:r>
      <w:r w:rsidR="00B51F06" w:rsidRPr="00E63A6F">
        <w:rPr>
          <w:rFonts w:cs="Arial"/>
          <w:szCs w:val="24"/>
        </w:rPr>
        <w:t>k listed below have now moved to Green</w:t>
      </w:r>
      <w:r w:rsidR="00E63A6F">
        <w:rPr>
          <w:rFonts w:cs="Arial"/>
          <w:szCs w:val="24"/>
        </w:rPr>
        <w:t>:</w:t>
      </w:r>
    </w:p>
    <w:p w14:paraId="5E8C0013" w14:textId="77777777" w:rsidR="00ED6420" w:rsidRPr="00ED6420" w:rsidRDefault="00ED6420" w:rsidP="00F650D7">
      <w:pPr>
        <w:pStyle w:val="ListParagraph"/>
        <w:numPr>
          <w:ilvl w:val="0"/>
          <w:numId w:val="23"/>
        </w:numPr>
        <w:jc w:val="both"/>
        <w:rPr>
          <w:rFonts w:cs="Arial"/>
          <w:szCs w:val="24"/>
        </w:rPr>
      </w:pPr>
      <w:r w:rsidRPr="00ED6420">
        <w:rPr>
          <w:rFonts w:cs="Arial"/>
          <w:szCs w:val="24"/>
        </w:rPr>
        <w:t>Transport (£200k) – delivered through wider mitigation.</w:t>
      </w:r>
    </w:p>
    <w:p w14:paraId="3BEBB30B" w14:textId="12B4A011" w:rsidR="00ED6420" w:rsidRPr="00ED6420" w:rsidRDefault="00ED6420" w:rsidP="00F650D7">
      <w:pPr>
        <w:pStyle w:val="ListParagraph"/>
        <w:numPr>
          <w:ilvl w:val="0"/>
          <w:numId w:val="23"/>
        </w:numPr>
        <w:jc w:val="both"/>
        <w:rPr>
          <w:rFonts w:cs="Arial"/>
          <w:szCs w:val="24"/>
        </w:rPr>
      </w:pPr>
      <w:r w:rsidRPr="00ED6420">
        <w:rPr>
          <w:rFonts w:cs="Arial"/>
          <w:szCs w:val="24"/>
        </w:rPr>
        <w:t xml:space="preserve">Southdown (£139k) – delivered but </w:t>
      </w:r>
      <w:r w:rsidR="00027425">
        <w:rPr>
          <w:rFonts w:cs="Arial"/>
          <w:szCs w:val="24"/>
        </w:rPr>
        <w:t>s</w:t>
      </w:r>
      <w:r w:rsidRPr="00ED6420">
        <w:rPr>
          <w:rFonts w:cs="Arial"/>
          <w:szCs w:val="24"/>
        </w:rPr>
        <w:t>light delay in transitioning to new settings to be mitigated through ASC budget.</w:t>
      </w:r>
    </w:p>
    <w:p w14:paraId="5C40742D" w14:textId="0B603578" w:rsidR="00ED6420" w:rsidRPr="00ED6420" w:rsidRDefault="00ED6420" w:rsidP="00F650D7">
      <w:pPr>
        <w:pStyle w:val="ListParagraph"/>
        <w:numPr>
          <w:ilvl w:val="0"/>
          <w:numId w:val="22"/>
        </w:numPr>
        <w:jc w:val="both"/>
        <w:rPr>
          <w:rFonts w:cs="Arial"/>
          <w:szCs w:val="24"/>
        </w:rPr>
      </w:pPr>
      <w:r w:rsidRPr="00ED6420">
        <w:rPr>
          <w:rFonts w:cs="Arial"/>
          <w:szCs w:val="24"/>
        </w:rPr>
        <w:t>W</w:t>
      </w:r>
      <w:r w:rsidR="00027425">
        <w:rPr>
          <w:rFonts w:cs="Arial"/>
          <w:szCs w:val="24"/>
        </w:rPr>
        <w:t>elldon (£106k) – delivered but s</w:t>
      </w:r>
      <w:r w:rsidRPr="00ED6420">
        <w:rPr>
          <w:rFonts w:cs="Arial"/>
          <w:szCs w:val="24"/>
        </w:rPr>
        <w:t>light delay in transitioning to new settings to be mitigated through ASC budget.</w:t>
      </w:r>
    </w:p>
    <w:p w14:paraId="7FA7A918" w14:textId="77777777" w:rsidR="00E63A6F" w:rsidRDefault="00ED6420" w:rsidP="00F650D7">
      <w:pPr>
        <w:pStyle w:val="ListParagraph"/>
        <w:numPr>
          <w:ilvl w:val="1"/>
          <w:numId w:val="25"/>
        </w:numPr>
        <w:spacing w:after="180"/>
        <w:ind w:left="709" w:hanging="709"/>
        <w:jc w:val="both"/>
        <w:rPr>
          <w:rFonts w:cs="Arial"/>
          <w:szCs w:val="24"/>
        </w:rPr>
      </w:pPr>
      <w:r w:rsidRPr="00E63A6F">
        <w:rPr>
          <w:rFonts w:cs="Arial"/>
          <w:szCs w:val="24"/>
        </w:rPr>
        <w:t>Bedfo</w:t>
      </w:r>
      <w:r w:rsidR="00027425" w:rsidRPr="00E63A6F">
        <w:rPr>
          <w:rFonts w:cs="Arial"/>
          <w:szCs w:val="24"/>
        </w:rPr>
        <w:t>rd House (£150k) now green but d</w:t>
      </w:r>
      <w:r w:rsidRPr="00E63A6F">
        <w:rPr>
          <w:rFonts w:cs="Arial"/>
          <w:szCs w:val="24"/>
        </w:rPr>
        <w:t>elays in building   redesign may require mitigation through ASC budget.</w:t>
      </w:r>
    </w:p>
    <w:p w14:paraId="11895D8E" w14:textId="5E0F0989" w:rsidR="004C448D" w:rsidRPr="00E63A6F" w:rsidRDefault="00ED6420" w:rsidP="00F650D7">
      <w:pPr>
        <w:pStyle w:val="ListParagraph"/>
        <w:numPr>
          <w:ilvl w:val="1"/>
          <w:numId w:val="25"/>
        </w:numPr>
        <w:spacing w:after="180"/>
        <w:ind w:left="709" w:hanging="709"/>
        <w:jc w:val="both"/>
        <w:rPr>
          <w:rFonts w:cs="Arial"/>
          <w:szCs w:val="24"/>
        </w:rPr>
      </w:pPr>
      <w:r w:rsidRPr="00E63A6F">
        <w:rPr>
          <w:rFonts w:cs="Arial"/>
          <w:szCs w:val="24"/>
        </w:rPr>
        <w:t>Gre</w:t>
      </w:r>
      <w:r w:rsidR="00612BC3" w:rsidRPr="00E63A6F">
        <w:rPr>
          <w:rFonts w:cs="Arial"/>
          <w:szCs w:val="24"/>
        </w:rPr>
        <w:t>en Savings has increased by £595</w:t>
      </w:r>
      <w:r w:rsidR="00221EBE" w:rsidRPr="00E63A6F">
        <w:rPr>
          <w:rFonts w:cs="Arial"/>
          <w:szCs w:val="24"/>
        </w:rPr>
        <w:t>k as explained above</w:t>
      </w:r>
      <w:r w:rsidR="00612BC3" w:rsidRPr="00E63A6F">
        <w:rPr>
          <w:rFonts w:cs="Arial"/>
          <w:szCs w:val="24"/>
        </w:rPr>
        <w:t>.</w:t>
      </w:r>
    </w:p>
    <w:p w14:paraId="4C117B12" w14:textId="77777777" w:rsidR="00A33D03" w:rsidRPr="00E836A2" w:rsidRDefault="00A33D03" w:rsidP="00F650D7">
      <w:pPr>
        <w:jc w:val="both"/>
        <w:rPr>
          <w:rFonts w:cs="Arial"/>
          <w:szCs w:val="24"/>
        </w:rPr>
      </w:pPr>
    </w:p>
    <w:p w14:paraId="76D4368E" w14:textId="77777777" w:rsidR="00FD7191" w:rsidRDefault="00FD7191" w:rsidP="00487842">
      <w:pPr>
        <w:jc w:val="both"/>
        <w:rPr>
          <w:rFonts w:cs="Arial"/>
          <w:b/>
          <w:u w:val="single"/>
        </w:rPr>
      </w:pPr>
    </w:p>
    <w:p w14:paraId="12FB2771" w14:textId="37319F92" w:rsidR="008F21C7" w:rsidRDefault="00006F6F" w:rsidP="00487842">
      <w:pPr>
        <w:jc w:val="both"/>
        <w:rPr>
          <w:rFonts w:cs="Arial"/>
          <w:b/>
          <w:u w:val="single"/>
        </w:rPr>
      </w:pPr>
      <w:r>
        <w:rPr>
          <w:rFonts w:cs="Arial"/>
          <w:b/>
          <w:u w:val="single"/>
        </w:rPr>
        <w:t>C</w:t>
      </w:r>
      <w:r w:rsidR="00570826">
        <w:rPr>
          <w:rFonts w:cs="Arial"/>
          <w:b/>
          <w:u w:val="single"/>
        </w:rPr>
        <w:t>oncilium Business Services</w:t>
      </w:r>
    </w:p>
    <w:p w14:paraId="4824E4E7" w14:textId="77777777" w:rsidR="008F21C7" w:rsidRDefault="008F21C7" w:rsidP="00487842">
      <w:pPr>
        <w:jc w:val="both"/>
        <w:rPr>
          <w:rFonts w:cs="Arial"/>
          <w:b/>
          <w:u w:val="single"/>
        </w:rPr>
      </w:pPr>
    </w:p>
    <w:p w14:paraId="30046CF6" w14:textId="77777777" w:rsidR="00FD7191" w:rsidRDefault="008F21C7" w:rsidP="00E63A6F">
      <w:pPr>
        <w:pStyle w:val="ListParagraph"/>
        <w:numPr>
          <w:ilvl w:val="1"/>
          <w:numId w:val="28"/>
        </w:numPr>
        <w:spacing w:after="120"/>
        <w:ind w:left="709" w:hanging="709"/>
        <w:jc w:val="both"/>
        <w:rPr>
          <w:rFonts w:cs="Arial"/>
        </w:rPr>
      </w:pPr>
      <w:r w:rsidRPr="00FD7191">
        <w:rPr>
          <w:rFonts w:cs="Arial"/>
        </w:rPr>
        <w:t>A report titled "Trading Company Structures" was taken to Cabinet in July 2015.</w:t>
      </w:r>
    </w:p>
    <w:p w14:paraId="177BE083" w14:textId="4AB0B68A" w:rsidR="00D17B17" w:rsidRPr="00760D1F" w:rsidRDefault="008F21C7" w:rsidP="00FD7191">
      <w:pPr>
        <w:pStyle w:val="ListParagraph"/>
        <w:numPr>
          <w:ilvl w:val="1"/>
          <w:numId w:val="28"/>
        </w:numPr>
        <w:spacing w:after="120"/>
        <w:ind w:left="709" w:hanging="709"/>
        <w:jc w:val="both"/>
        <w:rPr>
          <w:rFonts w:cs="Arial"/>
        </w:rPr>
      </w:pPr>
      <w:r w:rsidRPr="00FD7191">
        <w:rPr>
          <w:rFonts w:cs="Arial"/>
        </w:rPr>
        <w:t>Two trading companies and a Limited Liability Partnership have been set up.</w:t>
      </w:r>
      <w:r w:rsidR="00FD7191" w:rsidRPr="00760D1F">
        <w:rPr>
          <w:rFonts w:cs="Arial"/>
        </w:rPr>
        <w:t xml:space="preserve"> </w:t>
      </w:r>
    </w:p>
    <w:p w14:paraId="3EBD7680" w14:textId="43FF8D63" w:rsidR="008F21C7" w:rsidRDefault="008F21C7" w:rsidP="00487842">
      <w:pPr>
        <w:pStyle w:val="ListParagraph"/>
        <w:numPr>
          <w:ilvl w:val="1"/>
          <w:numId w:val="28"/>
        </w:numPr>
        <w:ind w:left="709" w:hanging="709"/>
        <w:jc w:val="both"/>
        <w:rPr>
          <w:rFonts w:cs="Arial"/>
        </w:rPr>
      </w:pPr>
      <w:r w:rsidRPr="00326163">
        <w:rPr>
          <w:rFonts w:cs="Arial"/>
        </w:rPr>
        <w:t xml:space="preserve">Of the recommendations in that report, recommendation 16 was </w:t>
      </w:r>
      <w:r>
        <w:rPr>
          <w:rFonts w:cs="Arial"/>
        </w:rPr>
        <w:t xml:space="preserve"> </w:t>
      </w:r>
      <w:r w:rsidRPr="00326163">
        <w:rPr>
          <w:rFonts w:cs="Arial"/>
        </w:rPr>
        <w:t>stated and approved as follows</w:t>
      </w:r>
      <w:r>
        <w:rPr>
          <w:rFonts w:cs="Arial"/>
        </w:rPr>
        <w:t>:</w:t>
      </w:r>
    </w:p>
    <w:p w14:paraId="542862E8" w14:textId="2C673BB8" w:rsidR="00FD7191" w:rsidRPr="008D2483" w:rsidRDefault="008F21C7" w:rsidP="00FD7191">
      <w:pPr>
        <w:spacing w:after="120"/>
        <w:ind w:left="720"/>
        <w:jc w:val="both"/>
        <w:rPr>
          <w:rFonts w:cs="Arial"/>
          <w:i/>
          <w:szCs w:val="24"/>
        </w:rPr>
      </w:pPr>
      <w:r w:rsidRPr="008D2483">
        <w:rPr>
          <w:rFonts w:cs="Arial"/>
          <w:i/>
          <w:szCs w:val="24"/>
        </w:rPr>
        <w:t>“Authorise the Corporate Director of Resources, following consultation with the Portfolio Holder for Business, Planning and Regeneration and the Portfolio Holder for Finance and Major Contracts to agree the Remuneration and Redundancy policies that will be followed by the Holding Company, the LLP and any other subsidiary companies.”</w:t>
      </w:r>
    </w:p>
    <w:p w14:paraId="46A27AB5" w14:textId="61476AB8" w:rsidR="00FD7191" w:rsidRPr="00FD7191" w:rsidRDefault="008F21C7" w:rsidP="00FD7191">
      <w:pPr>
        <w:pStyle w:val="ListParagraph"/>
        <w:numPr>
          <w:ilvl w:val="1"/>
          <w:numId w:val="28"/>
        </w:numPr>
        <w:spacing w:after="120"/>
        <w:ind w:left="709" w:hanging="709"/>
        <w:jc w:val="both"/>
        <w:rPr>
          <w:rFonts w:cs="Arial"/>
        </w:rPr>
      </w:pPr>
      <w:r w:rsidRPr="00FD7191">
        <w:rPr>
          <w:rFonts w:cs="Arial"/>
        </w:rPr>
        <w:t>Following further legal advice, it was decided that it would not be in the council's interest for decisions on these policies to have influence from the council as shareholder and as a result this resolved matter was not taken forward.</w:t>
      </w:r>
    </w:p>
    <w:p w14:paraId="0F2C5B58" w14:textId="65B2B5B7" w:rsidR="00D42F5C" w:rsidRPr="00FD7191" w:rsidRDefault="008F21C7" w:rsidP="00487842">
      <w:pPr>
        <w:pStyle w:val="ListParagraph"/>
        <w:numPr>
          <w:ilvl w:val="1"/>
          <w:numId w:val="28"/>
        </w:numPr>
        <w:spacing w:after="120"/>
        <w:ind w:left="709" w:hanging="709"/>
        <w:jc w:val="both"/>
        <w:rPr>
          <w:rFonts w:cs="Arial"/>
        </w:rPr>
      </w:pPr>
      <w:r w:rsidRPr="00FD7191">
        <w:rPr>
          <w:rFonts w:cs="Arial"/>
        </w:rPr>
        <w:t>The council continues to retain control as shareholder through the reserved matters in both companies' shareholder agreements including the ability to add or remove directors from the Boards of either company should it so choose.</w:t>
      </w:r>
    </w:p>
    <w:p w14:paraId="02297A02" w14:textId="14C7443A" w:rsidR="00D42F5C" w:rsidRPr="00FD7191" w:rsidRDefault="008F21C7" w:rsidP="00487842">
      <w:pPr>
        <w:pStyle w:val="ListParagraph"/>
        <w:numPr>
          <w:ilvl w:val="1"/>
          <w:numId w:val="28"/>
        </w:numPr>
        <w:spacing w:after="120"/>
        <w:ind w:left="709" w:hanging="709"/>
        <w:jc w:val="both"/>
        <w:rPr>
          <w:rFonts w:cs="Arial"/>
        </w:rPr>
      </w:pPr>
      <w:r w:rsidRPr="00FD7191">
        <w:rPr>
          <w:rFonts w:cs="Arial"/>
        </w:rPr>
        <w:t xml:space="preserve">Concilium Group as a holding company was created to support the council's wider commercialisation opportunities.  To date, </w:t>
      </w:r>
      <w:r w:rsidR="00570826">
        <w:rPr>
          <w:rFonts w:cs="Arial"/>
        </w:rPr>
        <w:t xml:space="preserve">the letting </w:t>
      </w:r>
      <w:r w:rsidR="006D2CA4">
        <w:rPr>
          <w:rFonts w:cs="Arial"/>
        </w:rPr>
        <w:t>agency</w:t>
      </w:r>
      <w:r w:rsidR="006D2CA4" w:rsidRPr="00FD7191">
        <w:rPr>
          <w:rFonts w:cs="Arial"/>
        </w:rPr>
        <w:t xml:space="preserve"> </w:t>
      </w:r>
      <w:r w:rsidR="006D2CA4">
        <w:rPr>
          <w:rFonts w:cs="Arial"/>
        </w:rPr>
        <w:t xml:space="preserve">is </w:t>
      </w:r>
      <w:r w:rsidR="00E63A6F">
        <w:rPr>
          <w:rFonts w:cs="Arial"/>
        </w:rPr>
        <w:t>actively trading</w:t>
      </w:r>
      <w:r w:rsidRPr="00FD7191">
        <w:rPr>
          <w:rFonts w:cs="Arial"/>
        </w:rPr>
        <w:t xml:space="preserve"> through its subsidiary, Concilium Business Services.  To ensure efficient use of time and resources, it is recommended that the Holding Company's operational and management oversight is reduced and the matters it would need to decide upon been passed directly to the council.  This would be effected by Deed of Variation to the Concilium Business Services shareholders agreement.</w:t>
      </w:r>
    </w:p>
    <w:p w14:paraId="31A4A6C5" w14:textId="49E4FECA" w:rsidR="00D42F5C" w:rsidRPr="00FD7191" w:rsidRDefault="008F21C7" w:rsidP="00487842">
      <w:pPr>
        <w:pStyle w:val="ListParagraph"/>
        <w:numPr>
          <w:ilvl w:val="1"/>
          <w:numId w:val="28"/>
        </w:numPr>
        <w:spacing w:after="120"/>
        <w:ind w:left="709" w:hanging="709"/>
        <w:jc w:val="both"/>
        <w:rPr>
          <w:rFonts w:cs="Arial"/>
        </w:rPr>
      </w:pPr>
      <w:r w:rsidRPr="00FD7191">
        <w:rPr>
          <w:rFonts w:cs="Arial"/>
        </w:rPr>
        <w:t>If future</w:t>
      </w:r>
      <w:r w:rsidR="0090499D">
        <w:rPr>
          <w:rFonts w:cs="Arial"/>
        </w:rPr>
        <w:t xml:space="preserve"> </w:t>
      </w:r>
      <w:r w:rsidRPr="00FD7191">
        <w:rPr>
          <w:rFonts w:cs="Arial"/>
        </w:rPr>
        <w:t xml:space="preserve">business </w:t>
      </w:r>
      <w:r w:rsidR="00570826">
        <w:rPr>
          <w:rFonts w:cs="Arial"/>
        </w:rPr>
        <w:t xml:space="preserve">activities </w:t>
      </w:r>
      <w:r w:rsidRPr="00FD7191">
        <w:rPr>
          <w:rFonts w:cs="Arial"/>
        </w:rPr>
        <w:t xml:space="preserve">materialise, this variation can be revoked </w:t>
      </w:r>
      <w:r w:rsidR="00570826">
        <w:rPr>
          <w:rFonts w:cs="Arial"/>
        </w:rPr>
        <w:t>through another variation</w:t>
      </w:r>
      <w:r w:rsidR="006D2CA4">
        <w:rPr>
          <w:rFonts w:cs="Arial"/>
        </w:rPr>
        <w:t xml:space="preserve"> </w:t>
      </w:r>
      <w:r w:rsidRPr="00FD7191">
        <w:rPr>
          <w:rFonts w:cs="Arial"/>
        </w:rPr>
        <w:t>to reinstate the Holding Company’s full rights and obligations as the shareholder of its subsidiary company.</w:t>
      </w:r>
    </w:p>
    <w:p w14:paraId="7DB4D106" w14:textId="07FE759A" w:rsidR="00D26F3A" w:rsidRDefault="00D26F3A" w:rsidP="00487842">
      <w:pPr>
        <w:pStyle w:val="ListParagraph"/>
        <w:numPr>
          <w:ilvl w:val="1"/>
          <w:numId w:val="28"/>
        </w:numPr>
        <w:ind w:left="709" w:hanging="709"/>
        <w:jc w:val="both"/>
        <w:rPr>
          <w:rFonts w:cs="Arial"/>
        </w:rPr>
      </w:pPr>
      <w:r w:rsidRPr="00D26F3A">
        <w:rPr>
          <w:rFonts w:cs="Arial"/>
        </w:rPr>
        <w:lastRenderedPageBreak/>
        <w:t>Any profits generated from trading companies can be used to support the general fund, subject to agreement with the respective Board of Directors.  Any retained losses must be held against Council reserves in light of potential realisation</w:t>
      </w:r>
      <w:r w:rsidR="00DB3161">
        <w:rPr>
          <w:rFonts w:cs="Arial"/>
        </w:rPr>
        <w:t>.</w:t>
      </w:r>
    </w:p>
    <w:p w14:paraId="6D8AAECC" w14:textId="77777777" w:rsidR="0035160F" w:rsidRDefault="0035160F" w:rsidP="0035160F">
      <w:pPr>
        <w:pStyle w:val="ListParagraph"/>
        <w:ind w:left="709"/>
        <w:jc w:val="both"/>
        <w:rPr>
          <w:rFonts w:cs="Arial"/>
        </w:rPr>
      </w:pPr>
    </w:p>
    <w:p w14:paraId="7255700F" w14:textId="52B8F0B3" w:rsidR="00760D1F" w:rsidRDefault="00760D1F" w:rsidP="00487842">
      <w:pPr>
        <w:pStyle w:val="ListParagraph"/>
        <w:ind w:left="709"/>
        <w:jc w:val="both"/>
        <w:rPr>
          <w:rFonts w:cs="Arial"/>
          <w:i/>
          <w:u w:val="single"/>
        </w:rPr>
      </w:pPr>
      <w:r w:rsidRPr="00760D1F">
        <w:rPr>
          <w:rFonts w:cs="Arial"/>
          <w:i/>
          <w:u w:val="single"/>
        </w:rPr>
        <w:t>Quarter 2 2016 Report</w:t>
      </w:r>
    </w:p>
    <w:p w14:paraId="59B880F5" w14:textId="4D718173" w:rsidR="00760D1F" w:rsidRPr="005C4CB8" w:rsidRDefault="00760D1F" w:rsidP="00487842">
      <w:pPr>
        <w:pStyle w:val="ListParagraph"/>
        <w:numPr>
          <w:ilvl w:val="2"/>
          <w:numId w:val="28"/>
        </w:numPr>
        <w:jc w:val="both"/>
        <w:rPr>
          <w:rFonts w:cs="Arial"/>
        </w:rPr>
      </w:pPr>
      <w:r w:rsidRPr="005C4CB8">
        <w:rPr>
          <w:rFonts w:cs="Arial"/>
        </w:rPr>
        <w:t>The last quarter of 2015/16 was spent establishing the commercial aspects of the business, such as creating the web site, bank account and professional registrations.  The first quarter of 2016/17 saw a consolidation of these activities with a revised business plan reflecting the more competitive environment within which the company now operates.</w:t>
      </w:r>
      <w:r w:rsidR="002B53D9" w:rsidRPr="005C4CB8">
        <w:rPr>
          <w:rFonts w:cs="Arial"/>
        </w:rPr>
        <w:t xml:space="preserve"> Please see </w:t>
      </w:r>
      <w:r w:rsidR="006D2CA4">
        <w:rPr>
          <w:rFonts w:cs="Arial"/>
        </w:rPr>
        <w:t>Appendix 5 for the latest quarter 2</w:t>
      </w:r>
      <w:r w:rsidR="00BE36D5" w:rsidRPr="005C4CB8">
        <w:rPr>
          <w:rFonts w:cs="Arial"/>
        </w:rPr>
        <w:t xml:space="preserve"> </w:t>
      </w:r>
      <w:r w:rsidR="002B53D9" w:rsidRPr="005C4CB8">
        <w:rPr>
          <w:rFonts w:cs="Arial"/>
        </w:rPr>
        <w:t>performance report</w:t>
      </w:r>
      <w:r w:rsidR="006D2CA4">
        <w:rPr>
          <w:rFonts w:cs="Arial"/>
        </w:rPr>
        <w:t>.</w:t>
      </w:r>
    </w:p>
    <w:p w14:paraId="53FFADE7" w14:textId="77777777" w:rsidR="00760D1F" w:rsidRDefault="00760D1F" w:rsidP="00487842">
      <w:pPr>
        <w:pStyle w:val="ListParagraph"/>
        <w:ind w:left="709"/>
        <w:jc w:val="both"/>
        <w:rPr>
          <w:rFonts w:cs="Arial"/>
        </w:rPr>
      </w:pPr>
    </w:p>
    <w:p w14:paraId="6245D2A6" w14:textId="77777777" w:rsidR="00515CBD" w:rsidRDefault="00515CBD" w:rsidP="00487842">
      <w:pPr>
        <w:pStyle w:val="ListParagraph"/>
        <w:ind w:left="709"/>
        <w:jc w:val="both"/>
        <w:rPr>
          <w:rFonts w:cs="Arial"/>
        </w:rPr>
      </w:pPr>
    </w:p>
    <w:p w14:paraId="38CBC8EE" w14:textId="15375443" w:rsidR="002A6274" w:rsidRPr="009E22B0" w:rsidRDefault="00182EFE" w:rsidP="00F650D7">
      <w:pPr>
        <w:autoSpaceDE w:val="0"/>
        <w:autoSpaceDN w:val="0"/>
        <w:adjustRightInd w:val="0"/>
        <w:spacing w:after="240"/>
        <w:jc w:val="both"/>
        <w:rPr>
          <w:b/>
        </w:rPr>
      </w:pPr>
      <w:r>
        <w:rPr>
          <w:b/>
          <w:sz w:val="28"/>
          <w:szCs w:val="28"/>
        </w:rPr>
        <w:t>3</w:t>
      </w:r>
      <w:r w:rsidR="00B669C0" w:rsidRPr="00835EA0">
        <w:rPr>
          <w:b/>
          <w:sz w:val="28"/>
          <w:szCs w:val="28"/>
        </w:rPr>
        <w:t>.</w:t>
      </w:r>
      <w:r w:rsidR="00B669C0" w:rsidRPr="009E22B0">
        <w:rPr>
          <w:b/>
        </w:rPr>
        <w:t xml:space="preserve">  </w:t>
      </w:r>
      <w:r w:rsidR="002A6274" w:rsidRPr="009E22B0">
        <w:rPr>
          <w:b/>
        </w:rPr>
        <w:t>CAPITAL PROGRAMME</w:t>
      </w:r>
    </w:p>
    <w:p w14:paraId="72E6ECE8" w14:textId="090F6137" w:rsidR="002A6274" w:rsidRPr="00EE65BB" w:rsidRDefault="002A6274" w:rsidP="00487842">
      <w:pPr>
        <w:autoSpaceDE w:val="0"/>
        <w:autoSpaceDN w:val="0"/>
        <w:adjustRightInd w:val="0"/>
        <w:spacing w:after="240"/>
        <w:ind w:right="43" w:firstLine="720"/>
        <w:jc w:val="both"/>
        <w:rPr>
          <w:b/>
          <w:u w:val="single"/>
        </w:rPr>
      </w:pPr>
      <w:r w:rsidRPr="00EE65BB">
        <w:rPr>
          <w:b/>
          <w:u w:val="single"/>
        </w:rPr>
        <w:t>Capital</w:t>
      </w:r>
      <w:r w:rsidR="00891E0A">
        <w:rPr>
          <w:b/>
          <w:u w:val="single"/>
        </w:rPr>
        <w:t xml:space="preserve"> Programme Forecast at Quarter 2</w:t>
      </w:r>
    </w:p>
    <w:p w14:paraId="201B8355" w14:textId="58DBB030" w:rsidR="002A6274" w:rsidRPr="008A73C4" w:rsidRDefault="00CE10BA" w:rsidP="001F1E67">
      <w:pPr>
        <w:pStyle w:val="ListParagraph"/>
        <w:numPr>
          <w:ilvl w:val="1"/>
          <w:numId w:val="7"/>
        </w:numPr>
        <w:tabs>
          <w:tab w:val="left" w:pos="426"/>
        </w:tabs>
        <w:autoSpaceDE w:val="0"/>
        <w:autoSpaceDN w:val="0"/>
        <w:adjustRightInd w:val="0"/>
        <w:spacing w:after="120"/>
        <w:ind w:left="709" w:right="43" w:hanging="709"/>
        <w:jc w:val="both"/>
      </w:pPr>
      <w:r>
        <w:t xml:space="preserve">    </w:t>
      </w:r>
      <w:r w:rsidR="002A6274" w:rsidRPr="008A73C4">
        <w:t>The 2016/17 capital programme ag</w:t>
      </w:r>
      <w:r w:rsidR="00404FAB">
        <w:t>reed by Council in February 2016</w:t>
      </w:r>
      <w:r w:rsidR="002A6274" w:rsidRPr="008A73C4">
        <w:t xml:space="preserve"> </w:t>
      </w:r>
      <w:r w:rsidR="00EE65BB">
        <w:tab/>
      </w:r>
      <w:r w:rsidR="002A6274" w:rsidRPr="008A73C4">
        <w:t>totalled £127.033m.  A</w:t>
      </w:r>
      <w:r w:rsidR="008F099E">
        <w:t xml:space="preserve">fter allowing for agreed slippage from </w:t>
      </w:r>
      <w:r w:rsidR="002A6274" w:rsidRPr="008A73C4">
        <w:t>2015/16</w:t>
      </w:r>
      <w:r w:rsidR="008F099E">
        <w:t xml:space="preserve"> </w:t>
      </w:r>
      <w:r w:rsidR="00EE65BB">
        <w:tab/>
      </w:r>
      <w:r w:rsidR="002A6274" w:rsidRPr="008A73C4">
        <w:t>outturn and other approved</w:t>
      </w:r>
      <w:r w:rsidR="008F099E">
        <w:t xml:space="preserve"> amendments,</w:t>
      </w:r>
      <w:r w:rsidR="002A6274" w:rsidRPr="008A73C4">
        <w:t xml:space="preserve"> t</w:t>
      </w:r>
      <w:r w:rsidR="00BA2F19" w:rsidRPr="008A73C4">
        <w:t xml:space="preserve">he programme now </w:t>
      </w:r>
      <w:r w:rsidR="00EE65BB">
        <w:tab/>
      </w:r>
      <w:r w:rsidR="00BA2F19" w:rsidRPr="008A73C4">
        <w:t>totals £1</w:t>
      </w:r>
      <w:r w:rsidR="00404FAB">
        <w:t>71.739</w:t>
      </w:r>
      <w:r w:rsidR="00872505">
        <w:t>m at Quarter</w:t>
      </w:r>
      <w:r w:rsidR="00404FAB">
        <w:t xml:space="preserve"> 2</w:t>
      </w:r>
      <w:r w:rsidR="002A6274" w:rsidRPr="008A73C4">
        <w:t xml:space="preserve">. </w:t>
      </w:r>
    </w:p>
    <w:p w14:paraId="3936A8BD" w14:textId="32712D51" w:rsidR="00182EFE" w:rsidRDefault="00BA2F19" w:rsidP="001F1E67">
      <w:pPr>
        <w:pStyle w:val="ListParagraph"/>
        <w:numPr>
          <w:ilvl w:val="1"/>
          <w:numId w:val="7"/>
        </w:numPr>
        <w:autoSpaceDE w:val="0"/>
        <w:autoSpaceDN w:val="0"/>
        <w:adjustRightInd w:val="0"/>
        <w:spacing w:after="120"/>
        <w:ind w:left="709" w:right="43" w:hanging="709"/>
        <w:jc w:val="both"/>
      </w:pPr>
      <w:r w:rsidRPr="008A73C4">
        <w:t>The forecast s</w:t>
      </w:r>
      <w:r w:rsidR="00404FAB">
        <w:t>pend at Quarter 2</w:t>
      </w:r>
      <w:r w:rsidRPr="008A73C4">
        <w:t xml:space="preserve"> is £1</w:t>
      </w:r>
      <w:r w:rsidR="00404FAB">
        <w:t>12.693</w:t>
      </w:r>
      <w:r w:rsidRPr="008A73C4">
        <w:t xml:space="preserve">m, </w:t>
      </w:r>
      <w:r w:rsidR="00404FAB">
        <w:t>66</w:t>
      </w:r>
      <w:r w:rsidR="002A6274" w:rsidRPr="008A73C4">
        <w:t>% of the total capital programme</w:t>
      </w:r>
      <w:r w:rsidRPr="008A73C4">
        <w:t>.</w:t>
      </w:r>
      <w:r w:rsidR="002A6274" w:rsidRPr="008A73C4">
        <w:t xml:space="preserve">  </w:t>
      </w:r>
    </w:p>
    <w:p w14:paraId="23D69E56" w14:textId="3AD21EA4" w:rsidR="00DB3161" w:rsidRDefault="002A6274" w:rsidP="001F1E67">
      <w:pPr>
        <w:pStyle w:val="ListParagraph"/>
        <w:numPr>
          <w:ilvl w:val="1"/>
          <w:numId w:val="7"/>
        </w:numPr>
        <w:autoSpaceDE w:val="0"/>
        <w:autoSpaceDN w:val="0"/>
        <w:adjustRightInd w:val="0"/>
        <w:spacing w:after="120"/>
        <w:ind w:left="709" w:right="43" w:hanging="709"/>
        <w:jc w:val="both"/>
      </w:pPr>
      <w:r w:rsidRPr="008A73C4">
        <w:t xml:space="preserve">The forecast variance on </w:t>
      </w:r>
      <w:r w:rsidR="004751D8">
        <w:t xml:space="preserve">the </w:t>
      </w:r>
      <w:r w:rsidRPr="008A73C4">
        <w:t xml:space="preserve">General Fund at </w:t>
      </w:r>
      <w:r w:rsidR="004751D8">
        <w:t>Q</w:t>
      </w:r>
      <w:r w:rsidRPr="008A73C4">
        <w:t xml:space="preserve">tr </w:t>
      </w:r>
      <w:r w:rsidR="00404FAB">
        <w:t>2</w:t>
      </w:r>
      <w:r w:rsidRPr="008A73C4">
        <w:t xml:space="preserve"> is an underspend </w:t>
      </w:r>
      <w:r w:rsidR="00EE65BB">
        <w:tab/>
      </w:r>
      <w:r w:rsidRPr="008A73C4">
        <w:t>of £</w:t>
      </w:r>
      <w:r w:rsidR="00404FAB">
        <w:t>46.623</w:t>
      </w:r>
      <w:r w:rsidR="005C30AC" w:rsidRPr="008A73C4">
        <w:t>m (</w:t>
      </w:r>
      <w:r w:rsidR="00404FAB">
        <w:t>49</w:t>
      </w:r>
      <w:r w:rsidRPr="008A73C4">
        <w:t>%)</w:t>
      </w:r>
      <w:r w:rsidR="004751D8">
        <w:t xml:space="preserve"> of which</w:t>
      </w:r>
      <w:r w:rsidR="005C30AC" w:rsidRPr="008A73C4">
        <w:t xml:space="preserve"> £</w:t>
      </w:r>
      <w:r w:rsidR="00404FAB">
        <w:t>41</w:t>
      </w:r>
      <w:r w:rsidR="00E54720">
        <w:t>.</w:t>
      </w:r>
      <w:r w:rsidR="00404FAB">
        <w:t>698</w:t>
      </w:r>
      <w:r w:rsidR="005C30AC" w:rsidRPr="008A73C4">
        <w:t xml:space="preserve">m </w:t>
      </w:r>
      <w:r w:rsidR="004751D8">
        <w:t xml:space="preserve">is requested for slippage into </w:t>
      </w:r>
      <w:r w:rsidR="00EE65BB">
        <w:tab/>
      </w:r>
      <w:r w:rsidR="00404FAB">
        <w:t>17/18 and £4.925</w:t>
      </w:r>
      <w:r w:rsidR="006222A2">
        <w:t>m</w:t>
      </w:r>
      <w:r w:rsidR="00DB3161" w:rsidRPr="00DB3161">
        <w:t xml:space="preserve"> represent</w:t>
      </w:r>
      <w:r w:rsidR="00530FB2">
        <w:t>s</w:t>
      </w:r>
      <w:r w:rsidR="00DB3161" w:rsidRPr="00DB3161">
        <w:t xml:space="preserve"> the capital budget no longer require</w:t>
      </w:r>
      <w:r w:rsidR="00DA7A68">
        <w:t>d</w:t>
      </w:r>
      <w:r w:rsidR="00DB3161">
        <w:t>.</w:t>
      </w:r>
    </w:p>
    <w:p w14:paraId="14E5EF9F" w14:textId="42CAD1C9" w:rsidR="005C30AC" w:rsidRPr="008A73C4" w:rsidRDefault="002A6274" w:rsidP="001F1E67">
      <w:pPr>
        <w:pStyle w:val="ListParagraph"/>
        <w:numPr>
          <w:ilvl w:val="1"/>
          <w:numId w:val="8"/>
        </w:numPr>
        <w:autoSpaceDE w:val="0"/>
        <w:autoSpaceDN w:val="0"/>
        <w:adjustRightInd w:val="0"/>
        <w:spacing w:after="120"/>
        <w:ind w:left="709" w:right="43" w:hanging="709"/>
        <w:jc w:val="both"/>
      </w:pPr>
      <w:r w:rsidRPr="008A73C4">
        <w:t xml:space="preserve">The forecast variance on the </w:t>
      </w:r>
      <w:r w:rsidR="00E54720">
        <w:t xml:space="preserve">HRA at Quarter </w:t>
      </w:r>
      <w:r w:rsidR="00DB3161">
        <w:t>2</w:t>
      </w:r>
      <w:r w:rsidR="00221EBE">
        <w:t xml:space="preserve"> is £12.423</w:t>
      </w:r>
      <w:r w:rsidR="00E54720">
        <w:t>m, which</w:t>
      </w:r>
      <w:r w:rsidR="00530FB2">
        <w:t xml:space="preserve"> </w:t>
      </w:r>
      <w:r w:rsidR="00CE10BA">
        <w:t>will all</w:t>
      </w:r>
      <w:r w:rsidR="00E54720">
        <w:t xml:space="preserve"> </w:t>
      </w:r>
      <w:r w:rsidR="00530FB2">
        <w:t>be slipped in full to 17/18.</w:t>
      </w:r>
      <w:r w:rsidRPr="008A73C4">
        <w:t xml:space="preserve"> </w:t>
      </w:r>
    </w:p>
    <w:p w14:paraId="54266028" w14:textId="52B352F2" w:rsidR="002C67F2" w:rsidRDefault="00EE65BB" w:rsidP="00487842">
      <w:pPr>
        <w:pStyle w:val="ListParagraph"/>
        <w:numPr>
          <w:ilvl w:val="1"/>
          <w:numId w:val="8"/>
        </w:numPr>
        <w:autoSpaceDE w:val="0"/>
        <w:autoSpaceDN w:val="0"/>
        <w:adjustRightInd w:val="0"/>
        <w:spacing w:after="240"/>
        <w:ind w:right="43"/>
        <w:jc w:val="both"/>
      </w:pPr>
      <w:r>
        <w:t xml:space="preserve">     </w:t>
      </w:r>
      <w:r w:rsidR="002A6274" w:rsidRPr="008A73C4">
        <w:t xml:space="preserve">Tables </w:t>
      </w:r>
      <w:r w:rsidR="00530FB2">
        <w:t>9</w:t>
      </w:r>
      <w:r w:rsidR="002A6274" w:rsidRPr="008A73C4">
        <w:t xml:space="preserve"> and </w:t>
      </w:r>
      <w:r w:rsidR="00530FB2">
        <w:t>10</w:t>
      </w:r>
      <w:r w:rsidR="002A6274" w:rsidRPr="008A73C4">
        <w:t xml:space="preserve"> below summarise the capital forecast position and </w:t>
      </w:r>
      <w:r>
        <w:tab/>
      </w:r>
      <w:r w:rsidR="002A6274" w:rsidRPr="008A73C4">
        <w:t>Appendix 4 shows the capital programme in more detail:</w:t>
      </w:r>
    </w:p>
    <w:p w14:paraId="710F7AE0" w14:textId="77777777" w:rsidR="0090499D" w:rsidRDefault="0090499D" w:rsidP="008A73C4">
      <w:pPr>
        <w:autoSpaceDE w:val="0"/>
        <w:autoSpaceDN w:val="0"/>
        <w:adjustRightInd w:val="0"/>
        <w:spacing w:after="240"/>
        <w:rPr>
          <w:b/>
          <w:u w:val="single"/>
        </w:rPr>
      </w:pPr>
    </w:p>
    <w:p w14:paraId="79E9C800" w14:textId="77777777" w:rsidR="0090499D" w:rsidRDefault="0090499D" w:rsidP="008A73C4">
      <w:pPr>
        <w:autoSpaceDE w:val="0"/>
        <w:autoSpaceDN w:val="0"/>
        <w:adjustRightInd w:val="0"/>
        <w:spacing w:after="240"/>
        <w:rPr>
          <w:b/>
          <w:u w:val="single"/>
        </w:rPr>
      </w:pPr>
    </w:p>
    <w:p w14:paraId="18AAA61B" w14:textId="77777777" w:rsidR="0090499D" w:rsidRDefault="0090499D" w:rsidP="008A73C4">
      <w:pPr>
        <w:autoSpaceDE w:val="0"/>
        <w:autoSpaceDN w:val="0"/>
        <w:adjustRightInd w:val="0"/>
        <w:spacing w:after="240"/>
        <w:rPr>
          <w:b/>
          <w:u w:val="single"/>
        </w:rPr>
      </w:pPr>
    </w:p>
    <w:p w14:paraId="65B32842" w14:textId="77777777" w:rsidR="0090499D" w:rsidRDefault="0090499D" w:rsidP="008A73C4">
      <w:pPr>
        <w:autoSpaceDE w:val="0"/>
        <w:autoSpaceDN w:val="0"/>
        <w:adjustRightInd w:val="0"/>
        <w:spacing w:after="240"/>
        <w:rPr>
          <w:b/>
          <w:u w:val="single"/>
        </w:rPr>
      </w:pPr>
    </w:p>
    <w:p w14:paraId="251C4CA3" w14:textId="77777777" w:rsidR="0090499D" w:rsidRDefault="0090499D" w:rsidP="008A73C4">
      <w:pPr>
        <w:autoSpaceDE w:val="0"/>
        <w:autoSpaceDN w:val="0"/>
        <w:adjustRightInd w:val="0"/>
        <w:spacing w:after="240"/>
        <w:rPr>
          <w:b/>
          <w:u w:val="single"/>
        </w:rPr>
      </w:pPr>
    </w:p>
    <w:p w14:paraId="49B4C8D4" w14:textId="77777777" w:rsidR="0090499D" w:rsidRDefault="0090499D" w:rsidP="008A73C4">
      <w:pPr>
        <w:autoSpaceDE w:val="0"/>
        <w:autoSpaceDN w:val="0"/>
        <w:adjustRightInd w:val="0"/>
        <w:spacing w:after="240"/>
        <w:rPr>
          <w:b/>
          <w:u w:val="single"/>
        </w:rPr>
      </w:pPr>
    </w:p>
    <w:p w14:paraId="37894F06" w14:textId="77777777" w:rsidR="0090499D" w:rsidRDefault="0090499D" w:rsidP="008A73C4">
      <w:pPr>
        <w:autoSpaceDE w:val="0"/>
        <w:autoSpaceDN w:val="0"/>
        <w:adjustRightInd w:val="0"/>
        <w:spacing w:after="240"/>
        <w:rPr>
          <w:b/>
          <w:u w:val="single"/>
        </w:rPr>
      </w:pPr>
    </w:p>
    <w:p w14:paraId="29A96323" w14:textId="77777777" w:rsidR="0090499D" w:rsidRDefault="0090499D" w:rsidP="008A73C4">
      <w:pPr>
        <w:autoSpaceDE w:val="0"/>
        <w:autoSpaceDN w:val="0"/>
        <w:adjustRightInd w:val="0"/>
        <w:spacing w:after="240"/>
        <w:rPr>
          <w:b/>
          <w:u w:val="single"/>
        </w:rPr>
      </w:pPr>
    </w:p>
    <w:p w14:paraId="624CF3E7" w14:textId="77777777" w:rsidR="0090499D" w:rsidRDefault="0090499D" w:rsidP="008A73C4">
      <w:pPr>
        <w:autoSpaceDE w:val="0"/>
        <w:autoSpaceDN w:val="0"/>
        <w:adjustRightInd w:val="0"/>
        <w:spacing w:after="240"/>
        <w:rPr>
          <w:b/>
          <w:u w:val="single"/>
        </w:rPr>
      </w:pPr>
    </w:p>
    <w:p w14:paraId="3D35DBFB" w14:textId="77777777" w:rsidR="0090499D" w:rsidRDefault="0090499D" w:rsidP="008A73C4">
      <w:pPr>
        <w:autoSpaceDE w:val="0"/>
        <w:autoSpaceDN w:val="0"/>
        <w:adjustRightInd w:val="0"/>
        <w:spacing w:after="240"/>
        <w:rPr>
          <w:b/>
          <w:u w:val="single"/>
        </w:rPr>
      </w:pPr>
    </w:p>
    <w:p w14:paraId="5644F7B6" w14:textId="77777777" w:rsidR="0090499D" w:rsidRDefault="0090499D" w:rsidP="008A73C4">
      <w:pPr>
        <w:autoSpaceDE w:val="0"/>
        <w:autoSpaceDN w:val="0"/>
        <w:adjustRightInd w:val="0"/>
        <w:spacing w:after="240"/>
        <w:rPr>
          <w:b/>
          <w:u w:val="single"/>
        </w:rPr>
      </w:pPr>
    </w:p>
    <w:p w14:paraId="46F54C5A" w14:textId="47A19D68" w:rsidR="002C67F2" w:rsidRPr="008A73C4" w:rsidRDefault="002C67F2" w:rsidP="008A73C4">
      <w:pPr>
        <w:autoSpaceDE w:val="0"/>
        <w:autoSpaceDN w:val="0"/>
        <w:adjustRightInd w:val="0"/>
        <w:spacing w:after="240"/>
        <w:rPr>
          <w:b/>
          <w:u w:val="single"/>
        </w:rPr>
      </w:pPr>
      <w:r w:rsidRPr="008A73C4">
        <w:rPr>
          <w:b/>
          <w:u w:val="single"/>
        </w:rPr>
        <w:t xml:space="preserve">Table </w:t>
      </w:r>
      <w:r w:rsidR="00530FB2">
        <w:rPr>
          <w:b/>
          <w:u w:val="single"/>
        </w:rPr>
        <w:t>9</w:t>
      </w:r>
      <w:r w:rsidRPr="008A73C4">
        <w:rPr>
          <w:b/>
          <w:u w:val="single"/>
        </w:rPr>
        <w:t xml:space="preserve"> Summary of forecast by directorate</w:t>
      </w:r>
    </w:p>
    <w:p w14:paraId="4B7EEF50" w14:textId="16DD3709" w:rsidR="00AD51B1" w:rsidRDefault="00C2099F" w:rsidP="008A73C4">
      <w:pPr>
        <w:autoSpaceDE w:val="0"/>
        <w:autoSpaceDN w:val="0"/>
        <w:adjustRightInd w:val="0"/>
        <w:spacing w:after="240"/>
        <w:rPr>
          <w:b/>
          <w:u w:val="single"/>
        </w:rPr>
      </w:pPr>
      <w:r w:rsidRPr="00C2099F">
        <w:rPr>
          <w:noProof/>
          <w:lang w:eastAsia="en-GB"/>
        </w:rPr>
        <w:drawing>
          <wp:inline distT="0" distB="0" distL="0" distR="0" wp14:anchorId="30451872" wp14:editId="32C38196">
            <wp:extent cx="6047712" cy="392920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5864" cy="3934500"/>
                    </a:xfrm>
                    <a:prstGeom prst="rect">
                      <a:avLst/>
                    </a:prstGeom>
                    <a:noFill/>
                    <a:ln>
                      <a:noFill/>
                    </a:ln>
                  </pic:spPr>
                </pic:pic>
              </a:graphicData>
            </a:graphic>
          </wp:inline>
        </w:drawing>
      </w:r>
    </w:p>
    <w:p w14:paraId="70F35624" w14:textId="3E268272" w:rsidR="00872505" w:rsidRDefault="007635E6" w:rsidP="008A73C4">
      <w:pPr>
        <w:autoSpaceDE w:val="0"/>
        <w:autoSpaceDN w:val="0"/>
        <w:adjustRightInd w:val="0"/>
        <w:spacing w:after="240"/>
        <w:rPr>
          <w:b/>
          <w:u w:val="single"/>
        </w:rPr>
      </w:pPr>
      <w:r>
        <w:rPr>
          <w:b/>
          <w:u w:val="single"/>
        </w:rPr>
        <w:t>T</w:t>
      </w:r>
      <w:r w:rsidR="002A6274" w:rsidRPr="002A6274">
        <w:rPr>
          <w:b/>
          <w:u w:val="single"/>
        </w:rPr>
        <w:t xml:space="preserve">able </w:t>
      </w:r>
      <w:r w:rsidR="00530FB2">
        <w:rPr>
          <w:b/>
          <w:u w:val="single"/>
        </w:rPr>
        <w:t>10</w:t>
      </w:r>
      <w:r w:rsidR="002A6274" w:rsidRPr="002A6274">
        <w:rPr>
          <w:b/>
          <w:u w:val="single"/>
        </w:rPr>
        <w:t xml:space="preserve"> Analysis of Forecast Outturn variance</w:t>
      </w:r>
    </w:p>
    <w:p w14:paraId="423C878F" w14:textId="12A906A0" w:rsidR="002A6274" w:rsidRPr="008A73C4" w:rsidRDefault="00C2099F" w:rsidP="008A73C4">
      <w:pPr>
        <w:autoSpaceDE w:val="0"/>
        <w:autoSpaceDN w:val="0"/>
        <w:adjustRightInd w:val="0"/>
        <w:spacing w:after="240"/>
        <w:rPr>
          <w:highlight w:val="yellow"/>
        </w:rPr>
      </w:pPr>
      <w:r w:rsidRPr="00C2099F">
        <w:rPr>
          <w:noProof/>
          <w:lang w:eastAsia="en-GB"/>
        </w:rPr>
        <w:drawing>
          <wp:inline distT="0" distB="0" distL="0" distR="0" wp14:anchorId="55C09103" wp14:editId="3792BB14">
            <wp:extent cx="5975286" cy="4255128"/>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9091" cy="4257837"/>
                    </a:xfrm>
                    <a:prstGeom prst="rect">
                      <a:avLst/>
                    </a:prstGeom>
                    <a:noFill/>
                    <a:ln>
                      <a:noFill/>
                    </a:ln>
                  </pic:spPr>
                </pic:pic>
              </a:graphicData>
            </a:graphic>
          </wp:inline>
        </w:drawing>
      </w:r>
    </w:p>
    <w:p w14:paraId="272942C1" w14:textId="77777777" w:rsidR="002A6274" w:rsidRPr="00321915" w:rsidRDefault="002A6274" w:rsidP="00487842">
      <w:pPr>
        <w:autoSpaceDE w:val="0"/>
        <w:autoSpaceDN w:val="0"/>
        <w:adjustRightInd w:val="0"/>
        <w:spacing w:after="240"/>
        <w:rPr>
          <w:b/>
          <w:bCs/>
          <w:u w:val="single"/>
        </w:rPr>
      </w:pPr>
      <w:r w:rsidRPr="00321915">
        <w:rPr>
          <w:b/>
          <w:bCs/>
          <w:u w:val="single"/>
        </w:rPr>
        <w:lastRenderedPageBreak/>
        <w:t>RESOURCES DIRECTORATE</w:t>
      </w:r>
    </w:p>
    <w:p w14:paraId="74F2BCBA" w14:textId="1F9384AE" w:rsidR="002C3AEC" w:rsidRPr="008A73C4" w:rsidRDefault="002C3AEC" w:rsidP="00720057">
      <w:pPr>
        <w:pStyle w:val="ListParagraph"/>
        <w:numPr>
          <w:ilvl w:val="1"/>
          <w:numId w:val="8"/>
        </w:numPr>
        <w:autoSpaceDE w:val="0"/>
        <w:autoSpaceDN w:val="0"/>
        <w:adjustRightInd w:val="0"/>
        <w:spacing w:after="120"/>
        <w:ind w:left="709" w:hanging="709"/>
        <w:jc w:val="both"/>
      </w:pPr>
      <w:r w:rsidRPr="008A73C4">
        <w:t xml:space="preserve">As at Quarter </w:t>
      </w:r>
      <w:r w:rsidR="00C2099F">
        <w:t xml:space="preserve">2 </w:t>
      </w:r>
      <w:r w:rsidRPr="008A73C4">
        <w:t>the forecast spend is £</w:t>
      </w:r>
      <w:r w:rsidR="00C2099F">
        <w:t>21.933</w:t>
      </w:r>
      <w:r w:rsidRPr="008A73C4">
        <w:t>m, 7</w:t>
      </w:r>
      <w:r w:rsidR="00C2099F">
        <w:t>1</w:t>
      </w:r>
      <w:r w:rsidRPr="008A73C4">
        <w:t>% of the 20</w:t>
      </w:r>
      <w:r w:rsidR="002A6274" w:rsidRPr="008A73C4">
        <w:t>16</w:t>
      </w:r>
      <w:r w:rsidRPr="008A73C4">
        <w:t>/17</w:t>
      </w:r>
      <w:r w:rsidR="002A6274" w:rsidRPr="008A73C4">
        <w:t xml:space="preserve"> Resource’s directorate capital budget. The forecas</w:t>
      </w:r>
      <w:r w:rsidRPr="008A73C4">
        <w:t xml:space="preserve">t under spend is </w:t>
      </w:r>
      <w:r w:rsidR="00061D7A">
        <w:t>£8.935</w:t>
      </w:r>
      <w:r w:rsidR="00B87DA1">
        <w:t>m</w:t>
      </w:r>
      <w:r w:rsidR="00061D7A">
        <w:t xml:space="preserve">, </w:t>
      </w:r>
      <w:r w:rsidR="00C035F4">
        <w:t xml:space="preserve">of which </w:t>
      </w:r>
      <w:r w:rsidR="00061D7A">
        <w:t xml:space="preserve">£8.029m is requested to </w:t>
      </w:r>
      <w:r w:rsidRPr="008A73C4">
        <w:t xml:space="preserve">be slipped </w:t>
      </w:r>
      <w:r w:rsidR="00530FB2">
        <w:t>to 2017/</w:t>
      </w:r>
      <w:r w:rsidR="00FE6146">
        <w:t>18</w:t>
      </w:r>
      <w:r w:rsidR="00061D7A">
        <w:t xml:space="preserve"> and £0.906m can be remove</w:t>
      </w:r>
      <w:r w:rsidR="00CB7520">
        <w:t>d</w:t>
      </w:r>
      <w:r w:rsidR="00061D7A">
        <w:t xml:space="preserve"> from the Capital Programme</w:t>
      </w:r>
      <w:r w:rsidRPr="008A73C4">
        <w:t>.</w:t>
      </w:r>
      <w:r w:rsidR="002A6274" w:rsidRPr="008A73C4">
        <w:t xml:space="preserve"> </w:t>
      </w:r>
    </w:p>
    <w:p w14:paraId="1F3F2AE0" w14:textId="33E773D4" w:rsidR="002A6274" w:rsidRPr="008A73C4" w:rsidRDefault="002A6274" w:rsidP="00720057">
      <w:pPr>
        <w:pStyle w:val="ListParagraph"/>
        <w:numPr>
          <w:ilvl w:val="1"/>
          <w:numId w:val="9"/>
        </w:numPr>
        <w:autoSpaceDE w:val="0"/>
        <w:autoSpaceDN w:val="0"/>
        <w:adjustRightInd w:val="0"/>
        <w:spacing w:after="120"/>
        <w:ind w:left="709" w:hanging="709"/>
        <w:jc w:val="both"/>
      </w:pPr>
      <w:r w:rsidRPr="008A73C4">
        <w:t>The main items of slippage are detailed below:</w:t>
      </w:r>
    </w:p>
    <w:p w14:paraId="555C9E3A" w14:textId="74274FCB" w:rsidR="000B20C5" w:rsidRPr="008A73C4" w:rsidRDefault="004751D8" w:rsidP="00720057">
      <w:pPr>
        <w:pStyle w:val="ListParagraph"/>
        <w:numPr>
          <w:ilvl w:val="1"/>
          <w:numId w:val="9"/>
        </w:numPr>
        <w:autoSpaceDE w:val="0"/>
        <w:autoSpaceDN w:val="0"/>
        <w:adjustRightInd w:val="0"/>
        <w:spacing w:after="120"/>
        <w:ind w:left="709" w:hanging="709"/>
        <w:jc w:val="both"/>
      </w:pPr>
      <w:r>
        <w:t xml:space="preserve">The </w:t>
      </w:r>
      <w:r w:rsidR="00E82FDF" w:rsidRPr="008A73C4">
        <w:t>Human Resources ICT system</w:t>
      </w:r>
      <w:r>
        <w:t>,</w:t>
      </w:r>
      <w:r w:rsidR="00E82FDF" w:rsidRPr="008A73C4">
        <w:t xml:space="preserve"> to enable the share</w:t>
      </w:r>
      <w:r>
        <w:t>d</w:t>
      </w:r>
      <w:r w:rsidR="00E82FDF" w:rsidRPr="008A73C4">
        <w:t xml:space="preserve"> service arrangement between Harrow and Buckinghamshire</w:t>
      </w:r>
      <w:r w:rsidR="00CB7520">
        <w:t xml:space="preserve"> Council</w:t>
      </w:r>
      <w:r w:rsidR="00E82FDF" w:rsidRPr="008A73C4">
        <w:t xml:space="preserve"> including HR case work, employees relations, payroll and </w:t>
      </w:r>
      <w:r w:rsidR="000B20C5" w:rsidRPr="008A73C4">
        <w:t>HR administration</w:t>
      </w:r>
      <w:r w:rsidR="00CD2BB1">
        <w:t xml:space="preserve"> </w:t>
      </w:r>
      <w:r w:rsidR="000B20C5" w:rsidRPr="008A73C4">
        <w:t xml:space="preserve">will underspend by </w:t>
      </w:r>
      <w:r>
        <w:t xml:space="preserve">an estimated </w:t>
      </w:r>
      <w:r w:rsidR="000B20C5" w:rsidRPr="008A73C4">
        <w:t>£30k</w:t>
      </w:r>
      <w:r w:rsidR="00797818">
        <w:t xml:space="preserve"> and will be slipped into 2017/18</w:t>
      </w:r>
      <w:r w:rsidR="000B20C5" w:rsidRPr="008A73C4">
        <w:t xml:space="preserve"> this is based on the estimated level of work that is required to be carried out this year in relation to the transition. </w:t>
      </w:r>
      <w:r w:rsidR="00E82FDF" w:rsidRPr="008A73C4">
        <w:t xml:space="preserve"> </w:t>
      </w:r>
      <w:r w:rsidR="00221EBE">
        <w:t>There is no financial or social implication for</w:t>
      </w:r>
      <w:r w:rsidR="00797818">
        <w:t xml:space="preserve"> the £30k budget that will be slipped</w:t>
      </w:r>
      <w:r w:rsidR="002A03E0">
        <w:t>.</w:t>
      </w:r>
    </w:p>
    <w:p w14:paraId="3B2813A7" w14:textId="58283729" w:rsidR="00125A0A" w:rsidRDefault="00CE38D4" w:rsidP="00487842">
      <w:pPr>
        <w:pStyle w:val="ListParagraph"/>
        <w:numPr>
          <w:ilvl w:val="1"/>
          <w:numId w:val="9"/>
        </w:numPr>
        <w:autoSpaceDE w:val="0"/>
        <w:autoSpaceDN w:val="0"/>
        <w:adjustRightInd w:val="0"/>
        <w:spacing w:after="240"/>
        <w:ind w:left="709" w:hanging="709"/>
        <w:jc w:val="both"/>
      </w:pPr>
      <w:r>
        <w:t>Property Investment Portfolio – I</w:t>
      </w:r>
      <w:r w:rsidR="00530FB2">
        <w:t xml:space="preserve">t is been estimated that </w:t>
      </w:r>
      <w:r w:rsidR="00DB7BED">
        <w:t>£7m of the £15m budget will be spen</w:t>
      </w:r>
      <w:r w:rsidR="00E121EB">
        <w:t>t</w:t>
      </w:r>
      <w:r w:rsidR="00DB7BED">
        <w:t xml:space="preserve"> this year and the remaining £8m will be </w:t>
      </w:r>
      <w:r w:rsidR="009E5B1B">
        <w:t>slipped</w:t>
      </w:r>
      <w:r w:rsidR="00DB7BED">
        <w:t xml:space="preserve"> to 2017/18.</w:t>
      </w:r>
      <w:r w:rsidR="008157BA">
        <w:t xml:space="preserve"> </w:t>
      </w:r>
      <w:r w:rsidR="009E5B1B">
        <w:t>The i</w:t>
      </w:r>
      <w:r w:rsidR="008157BA">
        <w:t>mplication of this slippage is the po</w:t>
      </w:r>
      <w:r w:rsidR="00530FB2">
        <w:t>tential</w:t>
      </w:r>
      <w:r w:rsidR="008157BA">
        <w:t xml:space="preserve"> f</w:t>
      </w:r>
      <w:r w:rsidR="00530FB2">
        <w:t>or</w:t>
      </w:r>
      <w:r w:rsidR="008157BA">
        <w:t xml:space="preserve"> not achieving £</w:t>
      </w:r>
      <w:r w:rsidR="00530FB2">
        <w:t>0.7</w:t>
      </w:r>
      <w:r w:rsidR="008157BA">
        <w:t>00</w:t>
      </w:r>
      <w:r w:rsidR="00530FB2">
        <w:t>m</w:t>
      </w:r>
      <w:r w:rsidR="008157BA">
        <w:t xml:space="preserve"> </w:t>
      </w:r>
      <w:r w:rsidR="005C4733">
        <w:t>MTFS</w:t>
      </w:r>
      <w:r w:rsidR="008157BA">
        <w:t xml:space="preserve"> savings </w:t>
      </w:r>
      <w:r w:rsidR="00530FB2">
        <w:t xml:space="preserve">in 17/18 and </w:t>
      </w:r>
      <w:r w:rsidR="008157BA">
        <w:t>18/19</w:t>
      </w:r>
      <w:r w:rsidR="00530FB2">
        <w:t xml:space="preserve"> and this will be monitored closely.</w:t>
      </w:r>
    </w:p>
    <w:p w14:paraId="1512EDB2" w14:textId="1235934B" w:rsidR="00125A0A" w:rsidRPr="00125A0A" w:rsidRDefault="00125A0A" w:rsidP="00487842">
      <w:pPr>
        <w:pStyle w:val="ListParagraph"/>
        <w:autoSpaceDE w:val="0"/>
        <w:autoSpaceDN w:val="0"/>
        <w:adjustRightInd w:val="0"/>
        <w:spacing w:after="240"/>
        <w:ind w:left="360" w:firstLine="349"/>
        <w:jc w:val="both"/>
        <w:rPr>
          <w:i/>
          <w:u w:val="single"/>
        </w:rPr>
      </w:pPr>
      <w:r w:rsidRPr="00125A0A">
        <w:rPr>
          <w:i/>
          <w:u w:val="single"/>
        </w:rPr>
        <w:t>REDUCTION TO CAPITAL PROGRAMME</w:t>
      </w:r>
    </w:p>
    <w:p w14:paraId="312DE1E1" w14:textId="2A99E2A1" w:rsidR="00797818" w:rsidRDefault="00221EBE" w:rsidP="00720057">
      <w:pPr>
        <w:pStyle w:val="ListParagraph"/>
        <w:numPr>
          <w:ilvl w:val="1"/>
          <w:numId w:val="9"/>
        </w:numPr>
        <w:autoSpaceDE w:val="0"/>
        <w:autoSpaceDN w:val="0"/>
        <w:adjustRightInd w:val="0"/>
        <w:spacing w:after="120"/>
        <w:ind w:left="709" w:hanging="709"/>
        <w:jc w:val="both"/>
      </w:pPr>
      <w:r>
        <w:t>The Resources directorate has carried</w:t>
      </w:r>
      <w:r w:rsidR="00797818">
        <w:t xml:space="preserve"> </w:t>
      </w:r>
      <w:r>
        <w:t xml:space="preserve">out </w:t>
      </w:r>
      <w:r w:rsidR="00797818">
        <w:t xml:space="preserve">a review of all their </w:t>
      </w:r>
      <w:r w:rsidR="00CB7520">
        <w:t>capital schemes</w:t>
      </w:r>
      <w:r>
        <w:t xml:space="preserve"> and as a result will </w:t>
      </w:r>
      <w:r w:rsidR="00797818">
        <w:t>reduce t</w:t>
      </w:r>
      <w:r w:rsidR="0017148A">
        <w:t xml:space="preserve">he capital programme by </w:t>
      </w:r>
      <w:r w:rsidR="0017148A" w:rsidRPr="0017148A">
        <w:rPr>
          <w:b/>
        </w:rPr>
        <w:t>£0.906</w:t>
      </w:r>
      <w:r w:rsidR="00797818" w:rsidRPr="0017148A">
        <w:rPr>
          <w:b/>
        </w:rPr>
        <w:t>m</w:t>
      </w:r>
      <w:r w:rsidR="00797818">
        <w:t xml:space="preserve"> as detailed below:</w:t>
      </w:r>
    </w:p>
    <w:p w14:paraId="64A74695" w14:textId="18969952" w:rsidR="00DA71C3" w:rsidRDefault="0092362F" w:rsidP="00720057">
      <w:pPr>
        <w:pStyle w:val="ListParagraph"/>
        <w:numPr>
          <w:ilvl w:val="1"/>
          <w:numId w:val="9"/>
        </w:numPr>
        <w:autoSpaceDE w:val="0"/>
        <w:autoSpaceDN w:val="0"/>
        <w:adjustRightInd w:val="0"/>
        <w:spacing w:after="120"/>
        <w:ind w:left="709" w:hanging="709"/>
        <w:jc w:val="both"/>
      </w:pPr>
      <w:r>
        <w:t xml:space="preserve">As part of </w:t>
      </w:r>
      <w:r w:rsidR="00DA71C3">
        <w:t xml:space="preserve">Sopro Steria </w:t>
      </w:r>
      <w:r>
        <w:t>transition budget that was set back in 2015</w:t>
      </w:r>
      <w:r w:rsidR="00221EBE">
        <w:t>,</w:t>
      </w:r>
      <w:r>
        <w:t xml:space="preserve"> </w:t>
      </w:r>
      <w:r w:rsidR="00A2335D">
        <w:rPr>
          <w:b/>
        </w:rPr>
        <w:t>£322</w:t>
      </w:r>
      <w:r w:rsidRPr="0017148A">
        <w:rPr>
          <w:b/>
        </w:rPr>
        <w:t>k</w:t>
      </w:r>
      <w:r>
        <w:t xml:space="preserve"> </w:t>
      </w:r>
      <w:r w:rsidR="0017148A">
        <w:t xml:space="preserve">was </w:t>
      </w:r>
      <w:r>
        <w:t xml:space="preserve">set aside as </w:t>
      </w:r>
      <w:r w:rsidR="00221EBE">
        <w:t xml:space="preserve">a </w:t>
      </w:r>
      <w:r>
        <w:t>contingency budget to be used to upgrade</w:t>
      </w:r>
      <w:r w:rsidR="00221EBE">
        <w:t xml:space="preserve"> the</w:t>
      </w:r>
      <w:r>
        <w:t xml:space="preserve"> system</w:t>
      </w:r>
      <w:r w:rsidR="00221EBE">
        <w:t>s</w:t>
      </w:r>
      <w:r>
        <w:t xml:space="preserve"> and </w:t>
      </w:r>
      <w:r w:rsidRPr="0017148A">
        <w:rPr>
          <w:b/>
        </w:rPr>
        <w:t>£210k</w:t>
      </w:r>
      <w:r>
        <w:t xml:space="preserve"> for general transition cost</w:t>
      </w:r>
      <w:r w:rsidR="0017148A">
        <w:t xml:space="preserve">, </w:t>
      </w:r>
      <w:r>
        <w:t>these budget</w:t>
      </w:r>
      <w:r w:rsidR="0017148A">
        <w:t>s</w:t>
      </w:r>
      <w:r>
        <w:t xml:space="preserve"> will now not be required as</w:t>
      </w:r>
      <w:r w:rsidR="00221EBE">
        <w:t xml:space="preserve"> the</w:t>
      </w:r>
      <w:r>
        <w:t xml:space="preserve"> transition to Sorpro Steria has now </w:t>
      </w:r>
      <w:r w:rsidR="0017148A">
        <w:t xml:space="preserve">been finalised </w:t>
      </w:r>
      <w:r>
        <w:t xml:space="preserve">and </w:t>
      </w:r>
      <w:r w:rsidR="00DA71C3">
        <w:t>t</w:t>
      </w:r>
      <w:r w:rsidR="0017148A">
        <w:t xml:space="preserve">here is sufficient budget within the </w:t>
      </w:r>
      <w:r w:rsidR="00DA71C3">
        <w:t xml:space="preserve">capital programmed to cover </w:t>
      </w:r>
      <w:r w:rsidR="00221EBE">
        <w:t xml:space="preserve">the </w:t>
      </w:r>
      <w:r w:rsidR="00DA71C3">
        <w:t>system upgrade.</w:t>
      </w:r>
    </w:p>
    <w:p w14:paraId="161C58EB" w14:textId="63E169C4" w:rsidR="0092362F" w:rsidRDefault="00DA71C3" w:rsidP="00720057">
      <w:pPr>
        <w:pStyle w:val="ListParagraph"/>
        <w:numPr>
          <w:ilvl w:val="1"/>
          <w:numId w:val="9"/>
        </w:numPr>
        <w:autoSpaceDE w:val="0"/>
        <w:autoSpaceDN w:val="0"/>
        <w:adjustRightInd w:val="0"/>
        <w:spacing w:after="120"/>
        <w:ind w:left="709" w:hanging="709"/>
        <w:jc w:val="both"/>
      </w:pPr>
      <w:r>
        <w:t xml:space="preserve">The cost of purchasing IT assets was less than anticipated by </w:t>
      </w:r>
      <w:r w:rsidRPr="0017148A">
        <w:rPr>
          <w:b/>
        </w:rPr>
        <w:t>£</w:t>
      </w:r>
      <w:r w:rsidR="00630A2C" w:rsidRPr="0017148A">
        <w:rPr>
          <w:b/>
        </w:rPr>
        <w:t>0.</w:t>
      </w:r>
      <w:r w:rsidRPr="0017148A">
        <w:rPr>
          <w:b/>
        </w:rPr>
        <w:t>374</w:t>
      </w:r>
      <w:r w:rsidR="00630A2C" w:rsidRPr="0017148A">
        <w:rPr>
          <w:b/>
        </w:rPr>
        <w:t>m</w:t>
      </w:r>
      <w:r>
        <w:t>.</w:t>
      </w:r>
    </w:p>
    <w:p w14:paraId="0ECCEBA5" w14:textId="1C79384F" w:rsidR="00321915" w:rsidRDefault="00221EBE" w:rsidP="00487842">
      <w:pPr>
        <w:pStyle w:val="ListParagraph"/>
        <w:numPr>
          <w:ilvl w:val="1"/>
          <w:numId w:val="9"/>
        </w:numPr>
        <w:autoSpaceDE w:val="0"/>
        <w:autoSpaceDN w:val="0"/>
        <w:adjustRightInd w:val="0"/>
        <w:spacing w:after="240"/>
        <w:ind w:left="709" w:hanging="709"/>
        <w:jc w:val="both"/>
      </w:pPr>
      <w:r>
        <w:t>The above underspends have</w:t>
      </w:r>
      <w:r w:rsidR="00DA71C3">
        <w:t xml:space="preserve"> no financial or social implication on the council or community as a whole.</w:t>
      </w:r>
    </w:p>
    <w:p w14:paraId="142DC85B" w14:textId="77777777" w:rsidR="00D71336" w:rsidRDefault="00D71336" w:rsidP="00487842">
      <w:pPr>
        <w:autoSpaceDE w:val="0"/>
        <w:autoSpaceDN w:val="0"/>
        <w:adjustRightInd w:val="0"/>
        <w:spacing w:after="240"/>
        <w:jc w:val="both"/>
        <w:rPr>
          <w:b/>
          <w:u w:val="single"/>
        </w:rPr>
      </w:pPr>
    </w:p>
    <w:p w14:paraId="2D05ED1F" w14:textId="77777777" w:rsidR="002A6274" w:rsidRPr="00321915" w:rsidRDefault="002A6274" w:rsidP="00487842">
      <w:pPr>
        <w:autoSpaceDE w:val="0"/>
        <w:autoSpaceDN w:val="0"/>
        <w:adjustRightInd w:val="0"/>
        <w:spacing w:after="240"/>
        <w:jc w:val="both"/>
        <w:rPr>
          <w:b/>
          <w:u w:val="single"/>
        </w:rPr>
      </w:pPr>
      <w:r w:rsidRPr="00321915">
        <w:rPr>
          <w:b/>
          <w:u w:val="single"/>
        </w:rPr>
        <w:t>COMMUNITY DIRECTORATE</w:t>
      </w:r>
    </w:p>
    <w:p w14:paraId="576697CD" w14:textId="60363423" w:rsidR="002A6274" w:rsidRPr="00B01AAD" w:rsidRDefault="00B01AAD" w:rsidP="00720057">
      <w:pPr>
        <w:pStyle w:val="ListParagraph"/>
        <w:numPr>
          <w:ilvl w:val="1"/>
          <w:numId w:val="9"/>
        </w:numPr>
        <w:autoSpaceDE w:val="0"/>
        <w:autoSpaceDN w:val="0"/>
        <w:adjustRightInd w:val="0"/>
        <w:spacing w:after="120"/>
        <w:ind w:left="709" w:hanging="709"/>
        <w:jc w:val="both"/>
      </w:pPr>
      <w:r>
        <w:rPr>
          <w:bCs/>
        </w:rPr>
        <w:t>As at Quarter 2</w:t>
      </w:r>
      <w:r w:rsidR="002C3AEC" w:rsidRPr="00B01AAD">
        <w:rPr>
          <w:bCs/>
        </w:rPr>
        <w:t xml:space="preserve"> the forecast is £</w:t>
      </w:r>
      <w:r w:rsidRPr="00B01AAD">
        <w:rPr>
          <w:bCs/>
        </w:rPr>
        <w:t>43.116m, 87</w:t>
      </w:r>
      <w:r w:rsidR="002A6274" w:rsidRPr="00B01AAD">
        <w:rPr>
          <w:bCs/>
        </w:rPr>
        <w:t>% of the total budget.</w:t>
      </w:r>
    </w:p>
    <w:p w14:paraId="15DA6FA3" w14:textId="74451BB3" w:rsidR="002A6274" w:rsidRPr="00B01AAD" w:rsidRDefault="002A6274" w:rsidP="00487842">
      <w:pPr>
        <w:pStyle w:val="ListParagraph"/>
        <w:numPr>
          <w:ilvl w:val="1"/>
          <w:numId w:val="9"/>
        </w:numPr>
        <w:autoSpaceDE w:val="0"/>
        <w:autoSpaceDN w:val="0"/>
        <w:adjustRightInd w:val="0"/>
        <w:spacing w:after="240"/>
        <w:ind w:left="709" w:hanging="709"/>
        <w:jc w:val="both"/>
        <w:rPr>
          <w:bCs/>
        </w:rPr>
      </w:pPr>
      <w:r w:rsidRPr="00B01AAD">
        <w:rPr>
          <w:bCs/>
        </w:rPr>
        <w:t>Th</w:t>
      </w:r>
      <w:r w:rsidR="00FC5307" w:rsidRPr="00B01AAD">
        <w:rPr>
          <w:bCs/>
        </w:rPr>
        <w:t>e forecast under spend is £</w:t>
      </w:r>
      <w:r w:rsidR="00B01AAD" w:rsidRPr="00B01AAD">
        <w:rPr>
          <w:bCs/>
        </w:rPr>
        <w:t>6.667m of which £5.508</w:t>
      </w:r>
      <w:r w:rsidRPr="00B01AAD">
        <w:rPr>
          <w:bCs/>
        </w:rPr>
        <w:t>m w</w:t>
      </w:r>
      <w:r w:rsidR="00FC5307" w:rsidRPr="00B01AAD">
        <w:rPr>
          <w:bCs/>
        </w:rPr>
        <w:t>ill be slipped to 20</w:t>
      </w:r>
      <w:r w:rsidRPr="00B01AAD">
        <w:rPr>
          <w:bCs/>
        </w:rPr>
        <w:t>17</w:t>
      </w:r>
      <w:r w:rsidR="00530FB2">
        <w:rPr>
          <w:bCs/>
        </w:rPr>
        <w:t>/</w:t>
      </w:r>
      <w:r w:rsidR="003F58EF">
        <w:rPr>
          <w:bCs/>
        </w:rPr>
        <w:t xml:space="preserve">18. </w:t>
      </w:r>
      <w:r w:rsidRPr="00B01AAD">
        <w:rPr>
          <w:bCs/>
        </w:rPr>
        <w:t xml:space="preserve"> The main items of </w:t>
      </w:r>
      <w:r w:rsidR="004333E4" w:rsidRPr="00B01AAD">
        <w:rPr>
          <w:bCs/>
        </w:rPr>
        <w:tab/>
      </w:r>
      <w:r w:rsidRPr="00B01AAD">
        <w:rPr>
          <w:bCs/>
        </w:rPr>
        <w:t>slippage</w:t>
      </w:r>
      <w:r w:rsidR="00530FB2">
        <w:rPr>
          <w:bCs/>
        </w:rPr>
        <w:t xml:space="preserve"> </w:t>
      </w:r>
      <w:r w:rsidRPr="00B01AAD">
        <w:rPr>
          <w:bCs/>
        </w:rPr>
        <w:t>and underspend are detailed below:</w:t>
      </w:r>
    </w:p>
    <w:p w14:paraId="77F983B9" w14:textId="77777777" w:rsidR="002A6274" w:rsidRPr="00C70F96" w:rsidRDefault="002A6274" w:rsidP="00487842">
      <w:pPr>
        <w:autoSpaceDE w:val="0"/>
        <w:autoSpaceDN w:val="0"/>
        <w:adjustRightInd w:val="0"/>
        <w:spacing w:after="240"/>
        <w:ind w:left="709"/>
        <w:jc w:val="both"/>
        <w:rPr>
          <w:b/>
          <w:u w:val="single"/>
        </w:rPr>
      </w:pPr>
      <w:r w:rsidRPr="00C70F96">
        <w:rPr>
          <w:b/>
          <w:u w:val="single"/>
        </w:rPr>
        <w:t>Environment &amp; Commissioning</w:t>
      </w:r>
    </w:p>
    <w:p w14:paraId="3A3F434C" w14:textId="1D1AF0E6" w:rsidR="002A6274" w:rsidRDefault="00B01AAD" w:rsidP="00720057">
      <w:pPr>
        <w:pStyle w:val="ListParagraph"/>
        <w:numPr>
          <w:ilvl w:val="1"/>
          <w:numId w:val="9"/>
        </w:numPr>
        <w:autoSpaceDE w:val="0"/>
        <w:autoSpaceDN w:val="0"/>
        <w:adjustRightInd w:val="0"/>
        <w:spacing w:after="120"/>
        <w:ind w:left="709" w:hanging="709"/>
        <w:jc w:val="both"/>
        <w:rPr>
          <w:bCs/>
        </w:rPr>
      </w:pPr>
      <w:r w:rsidRPr="00B01AAD">
        <w:rPr>
          <w:bCs/>
        </w:rPr>
        <w:t xml:space="preserve"> At Quarter 2 </w:t>
      </w:r>
      <w:r w:rsidR="00FC5307" w:rsidRPr="00B01AAD">
        <w:rPr>
          <w:bCs/>
        </w:rPr>
        <w:t xml:space="preserve">the </w:t>
      </w:r>
      <w:r w:rsidR="00FA3412" w:rsidRPr="00B01AAD">
        <w:rPr>
          <w:bCs/>
        </w:rPr>
        <w:t xml:space="preserve">whole capital programme of </w:t>
      </w:r>
      <w:r w:rsidR="00FC5307" w:rsidRPr="00B01AAD">
        <w:rPr>
          <w:bCs/>
        </w:rPr>
        <w:t>£1</w:t>
      </w:r>
      <w:r w:rsidRPr="00B01AAD">
        <w:rPr>
          <w:bCs/>
        </w:rPr>
        <w:t>9.239</w:t>
      </w:r>
      <w:r w:rsidR="002A6274" w:rsidRPr="00B01AAD">
        <w:rPr>
          <w:bCs/>
        </w:rPr>
        <w:t>m</w:t>
      </w:r>
      <w:r w:rsidR="00FA3412" w:rsidRPr="00B01AAD">
        <w:rPr>
          <w:bCs/>
        </w:rPr>
        <w:t xml:space="preserve"> is the </w:t>
      </w:r>
      <w:r w:rsidR="004333E4" w:rsidRPr="00B01AAD">
        <w:rPr>
          <w:bCs/>
        </w:rPr>
        <w:tab/>
      </w:r>
      <w:r w:rsidR="00FA3412" w:rsidRPr="00B01AAD">
        <w:rPr>
          <w:bCs/>
        </w:rPr>
        <w:t xml:space="preserve">expected </w:t>
      </w:r>
      <w:r w:rsidR="00F77E61" w:rsidRPr="00B01AAD">
        <w:rPr>
          <w:bCs/>
        </w:rPr>
        <w:t xml:space="preserve">to be spent </w:t>
      </w:r>
      <w:r w:rsidR="00FA3412" w:rsidRPr="00B01AAD">
        <w:rPr>
          <w:bCs/>
        </w:rPr>
        <w:t>this year.</w:t>
      </w:r>
    </w:p>
    <w:p w14:paraId="28059473" w14:textId="0DA65818" w:rsidR="00801D35" w:rsidRPr="00B01AAD" w:rsidRDefault="00B01AAD" w:rsidP="00720057">
      <w:pPr>
        <w:pStyle w:val="ListParagraph"/>
        <w:numPr>
          <w:ilvl w:val="1"/>
          <w:numId w:val="9"/>
        </w:numPr>
        <w:autoSpaceDE w:val="0"/>
        <w:autoSpaceDN w:val="0"/>
        <w:adjustRightInd w:val="0"/>
        <w:spacing w:after="120"/>
        <w:ind w:left="709" w:hanging="709"/>
        <w:jc w:val="both"/>
        <w:rPr>
          <w:bCs/>
        </w:rPr>
      </w:pPr>
      <w:r w:rsidRPr="005D5BFC">
        <w:lastRenderedPageBreak/>
        <w:t xml:space="preserve">At </w:t>
      </w:r>
      <w:r>
        <w:t xml:space="preserve">the end of </w:t>
      </w:r>
      <w:r w:rsidRPr="005D5BFC">
        <w:t>Quarter 2, Environment &amp; Commissioning spent and</w:t>
      </w:r>
      <w:r>
        <w:t>/or</w:t>
      </w:r>
      <w:r w:rsidRPr="005D5BFC">
        <w:t xml:space="preserve"> committed £11m (58%) of total budget of £19m. This has exceeded the profiled budget at this time of the year, indicating that effective project delivery planning allows capital projects to be commenced and implemented at the front end of the financial year. The investment will improve the borough’s infrastructure and make significant contributions towards the delivery of the administration’s priorities in coming years. </w:t>
      </w:r>
      <w:r>
        <w:t>Following the completion of various tendering exercises, a</w:t>
      </w:r>
      <w:r w:rsidRPr="005D5BFC">
        <w:t xml:space="preserve"> number of building improvement projects will also commence in coming months to convert them into cafes in order to improve facilities within parks and to provide a new revenue stream for the Council.</w:t>
      </w:r>
    </w:p>
    <w:p w14:paraId="791CD172" w14:textId="77777777" w:rsidR="004E65F1" w:rsidRPr="00B01AAD" w:rsidRDefault="004E65F1" w:rsidP="00720057">
      <w:pPr>
        <w:pStyle w:val="ListParagraph"/>
        <w:numPr>
          <w:ilvl w:val="1"/>
          <w:numId w:val="9"/>
        </w:numPr>
        <w:autoSpaceDE w:val="0"/>
        <w:autoSpaceDN w:val="0"/>
        <w:adjustRightInd w:val="0"/>
        <w:spacing w:after="120"/>
        <w:ind w:left="709" w:hanging="709"/>
        <w:jc w:val="both"/>
        <w:rPr>
          <w:bCs/>
        </w:rPr>
      </w:pPr>
      <w:r w:rsidRPr="00B01AAD">
        <w:rPr>
          <w:bCs/>
        </w:rPr>
        <w:t xml:space="preserve">The Services forecast to spend all the budgets allocated in this year’s </w:t>
      </w:r>
      <w:r w:rsidR="00D23D0E" w:rsidRPr="00B01AAD">
        <w:rPr>
          <w:bCs/>
        </w:rPr>
        <w:tab/>
      </w:r>
      <w:r w:rsidRPr="00B01AAD">
        <w:rPr>
          <w:bCs/>
        </w:rPr>
        <w:t>programme.</w:t>
      </w:r>
    </w:p>
    <w:p w14:paraId="619C022A" w14:textId="77777777" w:rsidR="004E65F1" w:rsidRPr="00300486" w:rsidRDefault="004E65F1" w:rsidP="00487842">
      <w:pPr>
        <w:pStyle w:val="ListParagraph"/>
        <w:numPr>
          <w:ilvl w:val="1"/>
          <w:numId w:val="9"/>
        </w:numPr>
        <w:autoSpaceDE w:val="0"/>
        <w:autoSpaceDN w:val="0"/>
        <w:adjustRightInd w:val="0"/>
        <w:spacing w:after="240"/>
        <w:ind w:left="709" w:hanging="644"/>
        <w:jc w:val="both"/>
        <w:rPr>
          <w:bCs/>
        </w:rPr>
      </w:pPr>
      <w:r w:rsidRPr="00300486">
        <w:rPr>
          <w:bCs/>
        </w:rPr>
        <w:t xml:space="preserve">Some budget adjustments are required to bring the programme up to </w:t>
      </w:r>
      <w:r w:rsidR="00D23D0E" w:rsidRPr="00300486">
        <w:rPr>
          <w:bCs/>
        </w:rPr>
        <w:tab/>
      </w:r>
      <w:r w:rsidRPr="00300486">
        <w:rPr>
          <w:bCs/>
        </w:rPr>
        <w:t>date, and these are detailed below.</w:t>
      </w:r>
    </w:p>
    <w:p w14:paraId="640747AD" w14:textId="2CB200D5" w:rsidR="0064222B" w:rsidRPr="00C70F96" w:rsidRDefault="00221EBE" w:rsidP="00487842">
      <w:pPr>
        <w:autoSpaceDE w:val="0"/>
        <w:autoSpaceDN w:val="0"/>
        <w:adjustRightInd w:val="0"/>
        <w:spacing w:after="240"/>
        <w:ind w:firstLine="709"/>
        <w:rPr>
          <w:bCs/>
          <w:i/>
          <w:u w:val="single"/>
        </w:rPr>
      </w:pPr>
      <w:r>
        <w:rPr>
          <w:bCs/>
          <w:i/>
          <w:u w:val="single"/>
        </w:rPr>
        <w:t>ADDITION TO CAPITAL PROGRAMME</w:t>
      </w:r>
    </w:p>
    <w:p w14:paraId="202F6BA8" w14:textId="5686C71E" w:rsidR="0064222B" w:rsidRPr="00C70F96" w:rsidRDefault="003C0668" w:rsidP="00CE38D4">
      <w:pPr>
        <w:ind w:firstLine="694"/>
        <w:jc w:val="both"/>
        <w:rPr>
          <w:rFonts w:cs="Arial"/>
          <w:bCs/>
          <w:color w:val="000000"/>
        </w:rPr>
      </w:pPr>
      <w:r w:rsidRPr="00C70F96">
        <w:rPr>
          <w:rFonts w:cs="Arial"/>
          <w:bCs/>
          <w:color w:val="000000"/>
        </w:rPr>
        <w:t xml:space="preserve">15/16 LIP </w:t>
      </w:r>
    </w:p>
    <w:p w14:paraId="40A35F2B" w14:textId="77777777" w:rsidR="003C0668" w:rsidRPr="00AF6757" w:rsidRDefault="003C0668" w:rsidP="00487842">
      <w:pPr>
        <w:ind w:left="15"/>
        <w:jc w:val="both"/>
        <w:rPr>
          <w:rFonts w:cs="Arial"/>
          <w:b/>
          <w:bCs/>
          <w:color w:val="000000"/>
        </w:rPr>
      </w:pPr>
    </w:p>
    <w:p w14:paraId="548D1871" w14:textId="2EB2358E" w:rsidR="00292A6D" w:rsidRPr="00AF6757" w:rsidRDefault="00300486" w:rsidP="00487842">
      <w:pPr>
        <w:pStyle w:val="ListParagraph"/>
        <w:numPr>
          <w:ilvl w:val="1"/>
          <w:numId w:val="9"/>
        </w:numPr>
        <w:ind w:left="709" w:hanging="709"/>
        <w:jc w:val="both"/>
        <w:rPr>
          <w:rFonts w:cs="Arial"/>
        </w:rPr>
      </w:pPr>
      <w:r w:rsidRPr="00AF6757">
        <w:rPr>
          <w:rFonts w:cs="Arial"/>
        </w:rPr>
        <w:t>All 15/16 projects under Local Implementation Plan (LIP) have been completed and financial claims have been made to recover the full costs from Transport for London. The total costs incurred in this financial year are £242,195. For the purpose of housekeeping, it is recommended that the budget on SAP is re-aligned to reflect the actual funding received. This will require an increase in capital budget of £50,977 (all externally funded).</w:t>
      </w:r>
    </w:p>
    <w:p w14:paraId="5E925D32" w14:textId="77777777" w:rsidR="00300486" w:rsidRPr="00AF6757" w:rsidRDefault="00300486" w:rsidP="004D6EBB">
      <w:pPr>
        <w:ind w:left="680"/>
        <w:jc w:val="both"/>
        <w:rPr>
          <w:rFonts w:cs="Arial"/>
        </w:rPr>
      </w:pPr>
    </w:p>
    <w:p w14:paraId="43EF98DE" w14:textId="77777777" w:rsidR="002A6274" w:rsidRPr="00C70F96" w:rsidRDefault="002A6274" w:rsidP="00487842">
      <w:pPr>
        <w:autoSpaceDE w:val="0"/>
        <w:autoSpaceDN w:val="0"/>
        <w:adjustRightInd w:val="0"/>
        <w:spacing w:after="240"/>
        <w:ind w:firstLine="709"/>
        <w:jc w:val="both"/>
        <w:rPr>
          <w:rFonts w:cs="Arial"/>
          <w:b/>
          <w:u w:val="single"/>
        </w:rPr>
      </w:pPr>
      <w:r w:rsidRPr="00C70F96">
        <w:rPr>
          <w:rFonts w:cs="Arial"/>
          <w:b/>
          <w:u w:val="single"/>
        </w:rPr>
        <w:t>Culture</w:t>
      </w:r>
    </w:p>
    <w:p w14:paraId="752970E6" w14:textId="28357C0B" w:rsidR="00FE6146" w:rsidRPr="00AF6757" w:rsidRDefault="00AC26D4" w:rsidP="00720057">
      <w:pPr>
        <w:pStyle w:val="ListParagraph"/>
        <w:numPr>
          <w:ilvl w:val="1"/>
          <w:numId w:val="9"/>
        </w:numPr>
        <w:autoSpaceDE w:val="0"/>
        <w:autoSpaceDN w:val="0"/>
        <w:adjustRightInd w:val="0"/>
        <w:spacing w:after="120"/>
        <w:ind w:left="644" w:hanging="644"/>
        <w:jc w:val="both"/>
        <w:rPr>
          <w:bCs/>
        </w:rPr>
      </w:pPr>
      <w:r w:rsidRPr="00AF6757">
        <w:rPr>
          <w:bCs/>
        </w:rPr>
        <w:t>At Quarter 2</w:t>
      </w:r>
      <w:r w:rsidR="00FA3412" w:rsidRPr="00AF6757">
        <w:rPr>
          <w:bCs/>
        </w:rPr>
        <w:t xml:space="preserve"> the</w:t>
      </w:r>
      <w:r w:rsidRPr="00AF6757">
        <w:rPr>
          <w:bCs/>
        </w:rPr>
        <w:t xml:space="preserve"> forecast is £5.76</w:t>
      </w:r>
      <w:r w:rsidR="00FC5307" w:rsidRPr="00AF6757">
        <w:rPr>
          <w:bCs/>
        </w:rPr>
        <w:t>m</w:t>
      </w:r>
      <w:r w:rsidR="00C83EFD" w:rsidRPr="00AF6757">
        <w:rPr>
          <w:bCs/>
        </w:rPr>
        <w:t>.</w:t>
      </w:r>
      <w:r w:rsidR="00FC5307" w:rsidRPr="00AF6757">
        <w:rPr>
          <w:bCs/>
        </w:rPr>
        <w:t xml:space="preserve"> </w:t>
      </w:r>
    </w:p>
    <w:p w14:paraId="2B457AEB" w14:textId="3DBF9C1C" w:rsidR="00A17813" w:rsidRPr="00AF6757" w:rsidRDefault="006F72C6" w:rsidP="00720057">
      <w:pPr>
        <w:pStyle w:val="ListParagraph"/>
        <w:numPr>
          <w:ilvl w:val="1"/>
          <w:numId w:val="9"/>
        </w:numPr>
        <w:autoSpaceDE w:val="0"/>
        <w:autoSpaceDN w:val="0"/>
        <w:adjustRightInd w:val="0"/>
        <w:spacing w:after="120"/>
        <w:ind w:left="709" w:hanging="709"/>
        <w:jc w:val="both"/>
        <w:rPr>
          <w:bCs/>
        </w:rPr>
      </w:pPr>
      <w:r w:rsidRPr="00AF6757">
        <w:rPr>
          <w:bCs/>
        </w:rPr>
        <w:t xml:space="preserve">At this stage, the capital grant of £1m to </w:t>
      </w:r>
      <w:r w:rsidR="00F85627" w:rsidRPr="00AF6757">
        <w:rPr>
          <w:bCs/>
        </w:rPr>
        <w:t xml:space="preserve">Cultura </w:t>
      </w:r>
      <w:r w:rsidRPr="00AF6757">
        <w:rPr>
          <w:bCs/>
        </w:rPr>
        <w:t xml:space="preserve">London is forecast to </w:t>
      </w:r>
      <w:r w:rsidR="00D23D0E" w:rsidRPr="00AF6757">
        <w:rPr>
          <w:bCs/>
        </w:rPr>
        <w:tab/>
      </w:r>
      <w:r w:rsidR="00AC26D4" w:rsidRPr="00AF6757">
        <w:rPr>
          <w:bCs/>
        </w:rPr>
        <w:t>underspend</w:t>
      </w:r>
      <w:r w:rsidRPr="00AF6757">
        <w:rPr>
          <w:bCs/>
        </w:rPr>
        <w:t xml:space="preserve"> </w:t>
      </w:r>
      <w:r w:rsidR="00CA60A9">
        <w:rPr>
          <w:bCs/>
        </w:rPr>
        <w:t>following a recent decision to explore</w:t>
      </w:r>
      <w:r w:rsidR="00CA60A9">
        <w:t xml:space="preserve"> different options for</w:t>
      </w:r>
      <w:r w:rsidR="00AC26D4" w:rsidRPr="00AF6757">
        <w:t xml:space="preserve"> the arts &amp; heritage services</w:t>
      </w:r>
      <w:r w:rsidR="00AF6757" w:rsidRPr="00AF6757">
        <w:t xml:space="preserve">. </w:t>
      </w:r>
      <w:r w:rsidR="00CA60A9">
        <w:t>If the transfer does go ahead on 1</w:t>
      </w:r>
      <w:r w:rsidR="00CA60A9" w:rsidRPr="00CA60A9">
        <w:rPr>
          <w:vertAlign w:val="superscript"/>
        </w:rPr>
        <w:t>st</w:t>
      </w:r>
      <w:r w:rsidR="0090499D">
        <w:t xml:space="preserve"> January 2017(or</w:t>
      </w:r>
      <w:r w:rsidR="00CA60A9">
        <w:t xml:space="preserve"> other specified date) as per “Future Delivery of Arts and Heritage Service update and approval of lease length” report elsewhere in the agenda, the capital budget will be required, in which case it may be slipped to 2017/18 subject to the progress of delivering the capital work by Cultura London.</w:t>
      </w:r>
    </w:p>
    <w:p w14:paraId="23895A25" w14:textId="6C2F0C15" w:rsidR="00872505" w:rsidRDefault="00872505" w:rsidP="00487842">
      <w:pPr>
        <w:pStyle w:val="ListParagraph"/>
        <w:numPr>
          <w:ilvl w:val="1"/>
          <w:numId w:val="9"/>
        </w:numPr>
        <w:autoSpaceDE w:val="0"/>
        <w:autoSpaceDN w:val="0"/>
        <w:adjustRightInd w:val="0"/>
        <w:spacing w:after="240"/>
        <w:ind w:left="709" w:hanging="709"/>
        <w:jc w:val="both"/>
        <w:rPr>
          <w:bCs/>
        </w:rPr>
      </w:pPr>
      <w:r w:rsidRPr="00AF6757">
        <w:rPr>
          <w:bCs/>
        </w:rPr>
        <w:t xml:space="preserve">Some budget adjustments are required to bring the programme up to </w:t>
      </w:r>
      <w:r w:rsidR="003612D5" w:rsidRPr="00AF6757">
        <w:rPr>
          <w:bCs/>
        </w:rPr>
        <w:tab/>
      </w:r>
      <w:r w:rsidRPr="00AF6757">
        <w:rPr>
          <w:bCs/>
        </w:rPr>
        <w:t>date, and these are detailed below</w:t>
      </w:r>
      <w:r w:rsidR="00AF6757">
        <w:rPr>
          <w:bCs/>
        </w:rPr>
        <w:t>.</w:t>
      </w:r>
    </w:p>
    <w:p w14:paraId="1D5E0EB5" w14:textId="5D5C31E7" w:rsidR="003C0668" w:rsidRPr="00920AC4" w:rsidRDefault="00221EBE" w:rsidP="00487842">
      <w:pPr>
        <w:autoSpaceDE w:val="0"/>
        <w:autoSpaceDN w:val="0"/>
        <w:adjustRightInd w:val="0"/>
        <w:spacing w:after="240"/>
        <w:ind w:firstLine="709"/>
        <w:jc w:val="both"/>
        <w:rPr>
          <w:bCs/>
          <w:i/>
          <w:u w:val="single"/>
        </w:rPr>
      </w:pPr>
      <w:r>
        <w:rPr>
          <w:bCs/>
          <w:i/>
          <w:u w:val="single"/>
        </w:rPr>
        <w:t>REALINGMENT</w:t>
      </w:r>
    </w:p>
    <w:p w14:paraId="7179E40F" w14:textId="5F27D712" w:rsidR="00AF6757" w:rsidRPr="00C70F96" w:rsidRDefault="00AF6757" w:rsidP="00720057">
      <w:pPr>
        <w:autoSpaceDE w:val="0"/>
        <w:autoSpaceDN w:val="0"/>
        <w:adjustRightInd w:val="0"/>
        <w:spacing w:after="120"/>
        <w:ind w:firstLine="709"/>
        <w:jc w:val="both"/>
        <w:rPr>
          <w:bCs/>
        </w:rPr>
      </w:pPr>
      <w:r w:rsidRPr="00C70F96">
        <w:rPr>
          <w:bCs/>
        </w:rPr>
        <w:t>Central Library Re-fit and Refurbishment</w:t>
      </w:r>
    </w:p>
    <w:p w14:paraId="26A4398A" w14:textId="7240C886" w:rsidR="00300486" w:rsidRPr="00AF6757" w:rsidRDefault="00300486" w:rsidP="00487842">
      <w:pPr>
        <w:pStyle w:val="ListParagraph"/>
        <w:numPr>
          <w:ilvl w:val="1"/>
          <w:numId w:val="9"/>
        </w:numPr>
        <w:ind w:left="709" w:hanging="709"/>
        <w:jc w:val="both"/>
        <w:rPr>
          <w:rFonts w:cs="Arial"/>
        </w:rPr>
      </w:pPr>
      <w:r w:rsidRPr="00AF6757">
        <w:t>In the current capital programme, there is a budget of £1.5m profiled in 17/18 for the fit out of the new town centre library. The procurement of a design specification for the fit out of the new library will need to be undertaken early in order to meet the planned timescale for the fit out work. The</w:t>
      </w:r>
      <w:r w:rsidR="00AF6757">
        <w:t xml:space="preserve"> estimated costs for this are</w:t>
      </w:r>
      <w:r w:rsidRPr="00AF6757">
        <w:t xml:space="preserve"> £50k. It </w:t>
      </w:r>
      <w:r w:rsidRPr="00AF6757">
        <w:lastRenderedPageBreak/>
        <w:t>is recommended that £50k of Harrow capital funding is brought forward to 16/17.</w:t>
      </w:r>
    </w:p>
    <w:p w14:paraId="49E02C22" w14:textId="77777777" w:rsidR="004D6EBB" w:rsidRDefault="004D6EBB" w:rsidP="004D6EBB">
      <w:pPr>
        <w:autoSpaceDE w:val="0"/>
        <w:autoSpaceDN w:val="0"/>
        <w:adjustRightInd w:val="0"/>
        <w:ind w:left="709"/>
        <w:jc w:val="both"/>
        <w:rPr>
          <w:b/>
          <w:u w:val="single"/>
        </w:rPr>
      </w:pPr>
    </w:p>
    <w:p w14:paraId="0AD93D12" w14:textId="77777777" w:rsidR="0062007D" w:rsidRDefault="002A6274" w:rsidP="004D6EBB">
      <w:pPr>
        <w:autoSpaceDE w:val="0"/>
        <w:autoSpaceDN w:val="0"/>
        <w:adjustRightInd w:val="0"/>
        <w:spacing w:after="240"/>
        <w:ind w:left="680"/>
        <w:jc w:val="both"/>
        <w:rPr>
          <w:b/>
          <w:u w:val="single"/>
        </w:rPr>
      </w:pPr>
      <w:r w:rsidRPr="00C70F96">
        <w:rPr>
          <w:b/>
          <w:u w:val="single"/>
        </w:rPr>
        <w:t>Housing General Fund</w:t>
      </w:r>
    </w:p>
    <w:p w14:paraId="567B6BF8" w14:textId="6C980DE2" w:rsidR="0062007D" w:rsidRDefault="0062007D" w:rsidP="00720057">
      <w:pPr>
        <w:autoSpaceDE w:val="0"/>
        <w:autoSpaceDN w:val="0"/>
        <w:adjustRightInd w:val="0"/>
        <w:spacing w:after="120"/>
        <w:ind w:left="709"/>
        <w:jc w:val="both"/>
      </w:pPr>
      <w:r w:rsidRPr="0062007D">
        <w:rPr>
          <w:bCs/>
        </w:rPr>
        <w:t>As at Quarter 2 the forecast spend is £</w:t>
      </w:r>
      <w:r>
        <w:rPr>
          <w:bCs/>
        </w:rPr>
        <w:t>18.117</w:t>
      </w:r>
      <w:r w:rsidRPr="0062007D">
        <w:rPr>
          <w:bCs/>
        </w:rPr>
        <w:t>m, 7</w:t>
      </w:r>
      <w:r>
        <w:rPr>
          <w:bCs/>
        </w:rPr>
        <w:t>6</w:t>
      </w:r>
      <w:r w:rsidRPr="0062007D">
        <w:rPr>
          <w:bCs/>
        </w:rPr>
        <w:t>% of the 2016/17</w:t>
      </w:r>
      <w:r>
        <w:rPr>
          <w:bCs/>
        </w:rPr>
        <w:t xml:space="preserve"> Housing general fund </w:t>
      </w:r>
      <w:r w:rsidRPr="0062007D">
        <w:rPr>
          <w:bCs/>
        </w:rPr>
        <w:t xml:space="preserve">capital budget. The forecast under spend is </w:t>
      </w:r>
      <w:r>
        <w:rPr>
          <w:bCs/>
        </w:rPr>
        <w:t>£5.508m</w:t>
      </w:r>
      <w:r w:rsidRPr="0062007D">
        <w:rPr>
          <w:bCs/>
        </w:rPr>
        <w:t xml:space="preserve"> is requested to be slipped to 2017-18 and £0.</w:t>
      </w:r>
      <w:r>
        <w:rPr>
          <w:bCs/>
        </w:rPr>
        <w:t>159</w:t>
      </w:r>
      <w:r w:rsidRPr="0062007D">
        <w:rPr>
          <w:bCs/>
        </w:rPr>
        <w:t>m can be remove</w:t>
      </w:r>
      <w:r w:rsidR="00CB7520">
        <w:rPr>
          <w:bCs/>
        </w:rPr>
        <w:t>d</w:t>
      </w:r>
      <w:r w:rsidRPr="0062007D">
        <w:rPr>
          <w:bCs/>
        </w:rPr>
        <w:t xml:space="preserve"> from the Capital Programme</w:t>
      </w:r>
      <w:r>
        <w:rPr>
          <w:bCs/>
        </w:rPr>
        <w:t>.</w:t>
      </w:r>
    </w:p>
    <w:p w14:paraId="1593AB02" w14:textId="35ECF1AF" w:rsidR="00D63890" w:rsidRPr="008F21C7" w:rsidRDefault="00B87DA1" w:rsidP="00487842">
      <w:pPr>
        <w:autoSpaceDE w:val="0"/>
        <w:autoSpaceDN w:val="0"/>
        <w:adjustRightInd w:val="0"/>
        <w:spacing w:after="240"/>
        <w:ind w:left="709"/>
        <w:jc w:val="both"/>
        <w:rPr>
          <w:b/>
          <w:color w:val="000000"/>
          <w:sz w:val="28"/>
          <w:szCs w:val="28"/>
        </w:rPr>
      </w:pPr>
      <w:r>
        <w:t xml:space="preserve">The </w:t>
      </w:r>
      <w:r w:rsidR="00D63890" w:rsidRPr="00D63890">
        <w:t xml:space="preserve">spent and committed </w:t>
      </w:r>
      <w:r>
        <w:t xml:space="preserve">at Quarter 2 is </w:t>
      </w:r>
      <w:r w:rsidR="00D63890" w:rsidRPr="00D63890">
        <w:t xml:space="preserve">£979k (40%) of total budget of £2.477m. Disabled Facilities Grants </w:t>
      </w:r>
      <w:r w:rsidR="00CB7520">
        <w:t>of £1.531m are expected to be spent</w:t>
      </w:r>
      <w:r w:rsidR="00D63890" w:rsidRPr="00D63890">
        <w:t xml:space="preserve"> in full. Spend on Empty Property Grants are expected to be £</w:t>
      </w:r>
      <w:r w:rsidR="00630A2C">
        <w:t>0.</w:t>
      </w:r>
      <w:r w:rsidR="00D63890" w:rsidRPr="00D63890">
        <w:t>275</w:t>
      </w:r>
      <w:r w:rsidR="00630A2C">
        <w:t>m</w:t>
      </w:r>
      <w:r w:rsidR="00D63890" w:rsidRPr="00D63890">
        <w:t xml:space="preserve"> below budget, of which £</w:t>
      </w:r>
      <w:r w:rsidR="00630A2C">
        <w:t>0.</w:t>
      </w:r>
      <w:r w:rsidR="00D63890" w:rsidRPr="00D63890">
        <w:t>125</w:t>
      </w:r>
      <w:r w:rsidR="00630A2C">
        <w:t>m</w:t>
      </w:r>
      <w:r w:rsidR="00D63890" w:rsidRPr="00D63890">
        <w:t xml:space="preserve"> is expected to be carried over to financial year 2017-18 leaving an underspend of £</w:t>
      </w:r>
      <w:r w:rsidR="00630A2C">
        <w:t>0.</w:t>
      </w:r>
      <w:r w:rsidR="00D63890" w:rsidRPr="00D63890">
        <w:t>150</w:t>
      </w:r>
      <w:r w:rsidR="00630A2C">
        <w:t>m</w:t>
      </w:r>
      <w:r w:rsidR="00F277FB">
        <w:t xml:space="preserve"> and this is set out in the capital programme reported elsewhere in the agenda.</w:t>
      </w:r>
    </w:p>
    <w:p w14:paraId="5D142233" w14:textId="77777777" w:rsidR="00D63890" w:rsidRPr="008F21C7" w:rsidRDefault="00D63890" w:rsidP="00487842">
      <w:pPr>
        <w:pStyle w:val="ListParagraph"/>
        <w:keepNext/>
        <w:ind w:left="360" w:firstLine="349"/>
        <w:jc w:val="both"/>
        <w:rPr>
          <w:i/>
          <w:color w:val="000000"/>
          <w:u w:val="single"/>
        </w:rPr>
      </w:pPr>
      <w:r w:rsidRPr="008F21C7">
        <w:rPr>
          <w:i/>
          <w:color w:val="000000"/>
          <w:u w:val="single"/>
        </w:rPr>
        <w:t>Housing Property Purchase Initiative</w:t>
      </w:r>
    </w:p>
    <w:p w14:paraId="6870DA63" w14:textId="77777777" w:rsidR="00D63890" w:rsidRPr="00D63890" w:rsidRDefault="00D63890" w:rsidP="00487842">
      <w:pPr>
        <w:pStyle w:val="ListParagraph"/>
        <w:keepNext/>
        <w:ind w:left="360"/>
        <w:jc w:val="both"/>
        <w:rPr>
          <w:b/>
          <w:color w:val="000000"/>
          <w:sz w:val="28"/>
          <w:szCs w:val="28"/>
        </w:rPr>
      </w:pPr>
    </w:p>
    <w:p w14:paraId="4141BD32" w14:textId="075DDD00" w:rsidR="00D63890" w:rsidRPr="00515CBD" w:rsidRDefault="00D63890" w:rsidP="00487842">
      <w:pPr>
        <w:pStyle w:val="ListParagraph"/>
        <w:numPr>
          <w:ilvl w:val="1"/>
          <w:numId w:val="9"/>
        </w:numPr>
        <w:autoSpaceDE w:val="0"/>
        <w:autoSpaceDN w:val="0"/>
        <w:adjustRightInd w:val="0"/>
        <w:spacing w:after="240"/>
        <w:ind w:left="709" w:hanging="709"/>
        <w:jc w:val="both"/>
        <w:rPr>
          <w:bCs/>
        </w:rPr>
      </w:pPr>
      <w:r w:rsidRPr="00B02F40">
        <w:t>At Quarter 2</w:t>
      </w:r>
      <w:r>
        <w:t>, the Housing Property Purchase Initiative spent &amp; committed £4</w:t>
      </w:r>
      <w:r w:rsidR="00630A2C">
        <w:t>.</w:t>
      </w:r>
      <w:r>
        <w:t>223</w:t>
      </w:r>
      <w:r w:rsidR="00630A2C">
        <w:t>m</w:t>
      </w:r>
      <w:r>
        <w:t xml:space="preserve"> (20%) of total budget of £21</w:t>
      </w:r>
      <w:r w:rsidR="00630A2C">
        <w:t>.</w:t>
      </w:r>
      <w:r>
        <w:t>307</w:t>
      </w:r>
      <w:r w:rsidR="00630A2C">
        <w:t>m</w:t>
      </w:r>
      <w:r>
        <w:t xml:space="preserve">. </w:t>
      </w:r>
      <w:r w:rsidR="001757AA">
        <w:t xml:space="preserve">The expected spend is </w:t>
      </w:r>
      <w:r w:rsidR="00630A2C">
        <w:t>£15.</w:t>
      </w:r>
      <w:r w:rsidR="008076EC">
        <w:t>924</w:t>
      </w:r>
      <w:r w:rsidR="00630A2C">
        <w:t>m</w:t>
      </w:r>
      <w:r w:rsidR="008076EC">
        <w:t xml:space="preserve"> with the remaining £5</w:t>
      </w:r>
      <w:r w:rsidR="00630A2C">
        <w:t>.</w:t>
      </w:r>
      <w:r w:rsidR="008076EC">
        <w:t>383</w:t>
      </w:r>
      <w:r w:rsidR="00630A2C">
        <w:t>m</w:t>
      </w:r>
      <w:r w:rsidR="008076EC">
        <w:t xml:space="preserve"> carried over into </w:t>
      </w:r>
      <w:r w:rsidR="00B87DA1">
        <w:t xml:space="preserve">the </w:t>
      </w:r>
      <w:r w:rsidR="008076EC">
        <w:t>next</w:t>
      </w:r>
      <w:r w:rsidR="00B87DA1">
        <w:t xml:space="preserve"> financial</w:t>
      </w:r>
      <w:r w:rsidR="008076EC">
        <w:t xml:space="preserve"> year and t</w:t>
      </w:r>
      <w:r>
        <w:t xml:space="preserve">his assumes </w:t>
      </w:r>
      <w:r w:rsidR="00B87DA1">
        <w:t xml:space="preserve">that </w:t>
      </w:r>
      <w:r>
        <w:t xml:space="preserve">57 properties will be purchased </w:t>
      </w:r>
      <w:r w:rsidR="00B87DA1">
        <w:t xml:space="preserve">in </w:t>
      </w:r>
      <w:r>
        <w:t>this financial year bringing the total to 60 properties by 31 March 2017.</w:t>
      </w:r>
    </w:p>
    <w:p w14:paraId="61EB0D1F" w14:textId="77777777" w:rsidR="0090499D" w:rsidRDefault="0090499D" w:rsidP="00487842">
      <w:pPr>
        <w:autoSpaceDE w:val="0"/>
        <w:autoSpaceDN w:val="0"/>
        <w:adjustRightInd w:val="0"/>
        <w:spacing w:after="240"/>
        <w:jc w:val="both"/>
        <w:rPr>
          <w:b/>
          <w:u w:val="single"/>
        </w:rPr>
      </w:pPr>
    </w:p>
    <w:p w14:paraId="59521CC4" w14:textId="77777777" w:rsidR="002A6274" w:rsidRPr="00F13EF5" w:rsidRDefault="002A6274" w:rsidP="00487842">
      <w:pPr>
        <w:autoSpaceDE w:val="0"/>
        <w:autoSpaceDN w:val="0"/>
        <w:adjustRightInd w:val="0"/>
        <w:spacing w:after="240"/>
        <w:jc w:val="both"/>
        <w:rPr>
          <w:b/>
          <w:u w:val="single"/>
        </w:rPr>
      </w:pPr>
      <w:r w:rsidRPr="00F13EF5">
        <w:rPr>
          <w:b/>
          <w:u w:val="single"/>
        </w:rPr>
        <w:t>PEOPLE</w:t>
      </w:r>
    </w:p>
    <w:p w14:paraId="3E2667AA" w14:textId="4D1CCDF8" w:rsidR="002A6274" w:rsidRPr="00440EBF" w:rsidRDefault="00F01D48" w:rsidP="00720057">
      <w:pPr>
        <w:pStyle w:val="ListParagraph"/>
        <w:numPr>
          <w:ilvl w:val="1"/>
          <w:numId w:val="9"/>
        </w:numPr>
        <w:autoSpaceDE w:val="0"/>
        <w:autoSpaceDN w:val="0"/>
        <w:adjustRightInd w:val="0"/>
        <w:spacing w:after="120"/>
        <w:ind w:left="709" w:hanging="709"/>
        <w:jc w:val="both"/>
        <w:rPr>
          <w:bCs/>
        </w:rPr>
      </w:pPr>
      <w:r>
        <w:rPr>
          <w:bCs/>
        </w:rPr>
        <w:t>At Quarter 2</w:t>
      </w:r>
      <w:r w:rsidR="002A6274" w:rsidRPr="00440EBF">
        <w:rPr>
          <w:bCs/>
        </w:rPr>
        <w:t xml:space="preserve"> the forec</w:t>
      </w:r>
      <w:r w:rsidR="00FE6146" w:rsidRPr="008B25B2">
        <w:rPr>
          <w:bCs/>
        </w:rPr>
        <w:t xml:space="preserve">ast spend </w:t>
      </w:r>
      <w:r w:rsidR="006344AC">
        <w:rPr>
          <w:bCs/>
        </w:rPr>
        <w:t>is £19,374m, 50</w:t>
      </w:r>
      <w:r w:rsidR="00FE6146" w:rsidRPr="008B25B2">
        <w:rPr>
          <w:bCs/>
        </w:rPr>
        <w:t>% of the 201</w:t>
      </w:r>
      <w:r w:rsidR="002A6274" w:rsidRPr="003728EE">
        <w:rPr>
          <w:bCs/>
        </w:rPr>
        <w:t>6</w:t>
      </w:r>
      <w:r w:rsidR="00FE6146" w:rsidRPr="008D4ADA">
        <w:rPr>
          <w:bCs/>
        </w:rPr>
        <w:t>/17</w:t>
      </w:r>
      <w:r w:rsidR="002A6274" w:rsidRPr="008D4ADA">
        <w:rPr>
          <w:bCs/>
        </w:rPr>
        <w:t xml:space="preserve"> </w:t>
      </w:r>
      <w:r w:rsidR="004E7C68">
        <w:rPr>
          <w:bCs/>
        </w:rPr>
        <w:tab/>
      </w:r>
      <w:r w:rsidR="002A6274" w:rsidRPr="0039329E">
        <w:rPr>
          <w:bCs/>
        </w:rPr>
        <w:t xml:space="preserve">People’s directorate capital budget. </w:t>
      </w:r>
    </w:p>
    <w:p w14:paraId="6263C424" w14:textId="04988569" w:rsidR="002A6274" w:rsidRPr="00440EBF" w:rsidRDefault="002A6274" w:rsidP="00487842">
      <w:pPr>
        <w:pStyle w:val="ListParagraph"/>
        <w:numPr>
          <w:ilvl w:val="1"/>
          <w:numId w:val="9"/>
        </w:numPr>
        <w:autoSpaceDE w:val="0"/>
        <w:autoSpaceDN w:val="0"/>
        <w:adjustRightInd w:val="0"/>
        <w:spacing w:after="240"/>
        <w:ind w:left="709" w:hanging="709"/>
        <w:jc w:val="both"/>
        <w:rPr>
          <w:bCs/>
        </w:rPr>
      </w:pPr>
      <w:r w:rsidRPr="008B25B2">
        <w:rPr>
          <w:bCs/>
        </w:rPr>
        <w:t>The f</w:t>
      </w:r>
      <w:r w:rsidR="006344AC">
        <w:rPr>
          <w:bCs/>
        </w:rPr>
        <w:t>orecast under spend is £19.570m of which £19.170</w:t>
      </w:r>
      <w:r w:rsidR="0014523E" w:rsidRPr="008D4ADA">
        <w:rPr>
          <w:bCs/>
        </w:rPr>
        <w:t xml:space="preserve">m will be slipped </w:t>
      </w:r>
      <w:r w:rsidR="0014523E" w:rsidRPr="0039329E">
        <w:rPr>
          <w:bCs/>
        </w:rPr>
        <w:t>to 20</w:t>
      </w:r>
      <w:r w:rsidRPr="00440EBF">
        <w:rPr>
          <w:bCs/>
        </w:rPr>
        <w:t>17</w:t>
      </w:r>
      <w:r w:rsidR="0014523E" w:rsidRPr="008B25B2">
        <w:rPr>
          <w:bCs/>
        </w:rPr>
        <w:t>-18 and £</w:t>
      </w:r>
      <w:r w:rsidR="006344AC">
        <w:rPr>
          <w:bCs/>
        </w:rPr>
        <w:t>400</w:t>
      </w:r>
      <w:r w:rsidRPr="008D4ADA">
        <w:rPr>
          <w:bCs/>
        </w:rPr>
        <w:t xml:space="preserve">k is no longer needed. The main items of slippage </w:t>
      </w:r>
      <w:r w:rsidRPr="0039329E">
        <w:rPr>
          <w:bCs/>
        </w:rPr>
        <w:t>are detailed below:</w:t>
      </w:r>
    </w:p>
    <w:p w14:paraId="28687BAF" w14:textId="77777777" w:rsidR="002A6274" w:rsidRPr="00D71336" w:rsidRDefault="002A6274" w:rsidP="00487842">
      <w:pPr>
        <w:autoSpaceDE w:val="0"/>
        <w:autoSpaceDN w:val="0"/>
        <w:adjustRightInd w:val="0"/>
        <w:spacing w:after="240"/>
        <w:ind w:left="709"/>
        <w:jc w:val="both"/>
        <w:rPr>
          <w:b/>
          <w:bCs/>
          <w:u w:val="single"/>
        </w:rPr>
      </w:pPr>
      <w:r w:rsidRPr="00D71336">
        <w:rPr>
          <w:b/>
          <w:bCs/>
          <w:u w:val="single"/>
        </w:rPr>
        <w:t>Adults</w:t>
      </w:r>
    </w:p>
    <w:p w14:paraId="4B5DC3E9" w14:textId="77777777" w:rsidR="002A6274" w:rsidRPr="00440EBF" w:rsidRDefault="0014523E" w:rsidP="00720057">
      <w:pPr>
        <w:pStyle w:val="ListParagraph"/>
        <w:numPr>
          <w:ilvl w:val="1"/>
          <w:numId w:val="9"/>
        </w:numPr>
        <w:autoSpaceDE w:val="0"/>
        <w:autoSpaceDN w:val="0"/>
        <w:adjustRightInd w:val="0"/>
        <w:spacing w:after="120"/>
        <w:ind w:left="709" w:hanging="709"/>
        <w:jc w:val="both"/>
        <w:rPr>
          <w:bCs/>
        </w:rPr>
      </w:pPr>
      <w:r w:rsidRPr="0039329E">
        <w:rPr>
          <w:bCs/>
        </w:rPr>
        <w:t xml:space="preserve">At Quarter 1 the forecast spent is </w:t>
      </w:r>
      <w:r w:rsidR="00C83EFD" w:rsidRPr="00440EBF">
        <w:rPr>
          <w:bCs/>
        </w:rPr>
        <w:t>£</w:t>
      </w:r>
      <w:r w:rsidRPr="008B25B2">
        <w:rPr>
          <w:bCs/>
        </w:rPr>
        <w:t>2.811m, 55</w:t>
      </w:r>
      <w:r w:rsidR="002A6274" w:rsidRPr="003728EE">
        <w:rPr>
          <w:bCs/>
        </w:rPr>
        <w:t xml:space="preserve">% of the approved </w:t>
      </w:r>
      <w:r w:rsidR="009464B2">
        <w:rPr>
          <w:bCs/>
        </w:rPr>
        <w:tab/>
      </w:r>
      <w:r w:rsidR="002A6274" w:rsidRPr="0039329E">
        <w:rPr>
          <w:bCs/>
        </w:rPr>
        <w:t>capital programme.</w:t>
      </w:r>
    </w:p>
    <w:p w14:paraId="40555239" w14:textId="5E480282" w:rsidR="00E51227" w:rsidRDefault="002A6274" w:rsidP="00720057">
      <w:pPr>
        <w:pStyle w:val="ListParagraph"/>
        <w:numPr>
          <w:ilvl w:val="1"/>
          <w:numId w:val="9"/>
        </w:numPr>
        <w:autoSpaceDE w:val="0"/>
        <w:autoSpaceDN w:val="0"/>
        <w:adjustRightInd w:val="0"/>
        <w:spacing w:after="120"/>
        <w:ind w:left="709" w:hanging="709"/>
        <w:jc w:val="both"/>
        <w:rPr>
          <w:bCs/>
        </w:rPr>
      </w:pPr>
      <w:r w:rsidRPr="008B25B2">
        <w:rPr>
          <w:bCs/>
        </w:rPr>
        <w:t>The directora</w:t>
      </w:r>
      <w:r w:rsidR="00C85D12" w:rsidRPr="003728EE">
        <w:rPr>
          <w:bCs/>
        </w:rPr>
        <w:t>te variance of</w:t>
      </w:r>
      <w:r w:rsidR="00E51227">
        <w:rPr>
          <w:bCs/>
        </w:rPr>
        <w:t xml:space="preserve"> £400k that is </w:t>
      </w:r>
      <w:r w:rsidR="002B11DD">
        <w:rPr>
          <w:bCs/>
        </w:rPr>
        <w:t>no longer</w:t>
      </w:r>
      <w:r w:rsidR="0014523E" w:rsidRPr="008D4ADA">
        <w:rPr>
          <w:bCs/>
        </w:rPr>
        <w:t xml:space="preserve"> required</w:t>
      </w:r>
      <w:r w:rsidR="00E51227">
        <w:rPr>
          <w:bCs/>
        </w:rPr>
        <w:t>.</w:t>
      </w:r>
    </w:p>
    <w:p w14:paraId="110891A0" w14:textId="648F52FB" w:rsidR="00AD5506" w:rsidRDefault="00AD5506" w:rsidP="00720057">
      <w:pPr>
        <w:pStyle w:val="ListParagraph"/>
        <w:numPr>
          <w:ilvl w:val="1"/>
          <w:numId w:val="9"/>
        </w:numPr>
        <w:autoSpaceDE w:val="0"/>
        <w:autoSpaceDN w:val="0"/>
        <w:adjustRightInd w:val="0"/>
        <w:spacing w:after="120"/>
        <w:ind w:left="709" w:hanging="709"/>
        <w:jc w:val="both"/>
        <w:rPr>
          <w:bCs/>
        </w:rPr>
      </w:pPr>
      <w:r w:rsidRPr="00AD5506">
        <w:rPr>
          <w:bCs/>
        </w:rPr>
        <w:t>At the end of quarter 1 an underspend of £2.278m was reported and included a variation of £508k on projects associated with strategic capital reviews.  To expedite alterations to premises at Bedford House a virement of £40</w:t>
      </w:r>
      <w:r w:rsidR="002B11DD">
        <w:rPr>
          <w:bCs/>
        </w:rPr>
        <w:t>0k from Strategic Capital R</w:t>
      </w:r>
      <w:r w:rsidRPr="00AD5506">
        <w:rPr>
          <w:bCs/>
        </w:rPr>
        <w:t>eviews</w:t>
      </w:r>
      <w:r w:rsidR="002B11DD">
        <w:rPr>
          <w:bCs/>
        </w:rPr>
        <w:t xml:space="preserve"> budget</w:t>
      </w:r>
      <w:r w:rsidRPr="00AD5506">
        <w:rPr>
          <w:bCs/>
        </w:rPr>
        <w:t xml:space="preserve"> is being sought.  As the 2016-17 capital MTFS approved funding in this respect, the Project Infinity capital budget of £1.650m can be reduced, enabling the overall underspend reported to remain unchanged</w:t>
      </w:r>
      <w:r>
        <w:rPr>
          <w:bCs/>
        </w:rPr>
        <w:t>.</w:t>
      </w:r>
    </w:p>
    <w:p w14:paraId="3D47E74E" w14:textId="1A1420CD" w:rsidR="00E51227" w:rsidRDefault="00E51227" w:rsidP="00487842">
      <w:pPr>
        <w:pStyle w:val="ListParagraph"/>
        <w:numPr>
          <w:ilvl w:val="1"/>
          <w:numId w:val="9"/>
        </w:numPr>
        <w:autoSpaceDE w:val="0"/>
        <w:autoSpaceDN w:val="0"/>
        <w:adjustRightInd w:val="0"/>
        <w:spacing w:after="240"/>
        <w:ind w:left="709" w:hanging="709"/>
        <w:jc w:val="both"/>
        <w:rPr>
          <w:bCs/>
        </w:rPr>
      </w:pPr>
      <w:r>
        <w:rPr>
          <w:bCs/>
        </w:rPr>
        <w:t xml:space="preserve">The above </w:t>
      </w:r>
      <w:r w:rsidRPr="00E51227">
        <w:rPr>
          <w:bCs/>
        </w:rPr>
        <w:t>underspend will not</w:t>
      </w:r>
      <w:r w:rsidR="00A31DC0">
        <w:rPr>
          <w:bCs/>
        </w:rPr>
        <w:t xml:space="preserve"> </w:t>
      </w:r>
      <w:r w:rsidRPr="00E51227">
        <w:rPr>
          <w:bCs/>
        </w:rPr>
        <w:t>impact front line service delivery to the vulnerable residents of Harrow</w:t>
      </w:r>
      <w:r>
        <w:rPr>
          <w:bCs/>
        </w:rPr>
        <w:t>.</w:t>
      </w:r>
    </w:p>
    <w:p w14:paraId="7ABC7245" w14:textId="7646F46D" w:rsidR="002A6274" w:rsidRPr="00D71336" w:rsidRDefault="00FB7C1F" w:rsidP="00487842">
      <w:pPr>
        <w:pStyle w:val="ListParagraph"/>
        <w:autoSpaceDE w:val="0"/>
        <w:autoSpaceDN w:val="0"/>
        <w:adjustRightInd w:val="0"/>
        <w:spacing w:after="240"/>
        <w:ind w:left="360"/>
        <w:jc w:val="both"/>
        <w:rPr>
          <w:b/>
          <w:bCs/>
          <w:u w:val="single"/>
        </w:rPr>
      </w:pPr>
      <w:r w:rsidRPr="00440EBF">
        <w:rPr>
          <w:bCs/>
        </w:rPr>
        <w:lastRenderedPageBreak/>
        <w:t xml:space="preserve"> </w:t>
      </w:r>
      <w:r w:rsidR="00CE38D4">
        <w:rPr>
          <w:bCs/>
        </w:rPr>
        <w:t xml:space="preserve">   </w:t>
      </w:r>
      <w:r w:rsidRPr="00440EBF">
        <w:rPr>
          <w:bCs/>
        </w:rPr>
        <w:t xml:space="preserve"> </w:t>
      </w:r>
      <w:r w:rsidR="002A6274" w:rsidRPr="00D71336">
        <w:rPr>
          <w:b/>
          <w:bCs/>
          <w:u w:val="single"/>
        </w:rPr>
        <w:t>Schools</w:t>
      </w:r>
    </w:p>
    <w:p w14:paraId="2A78C684" w14:textId="4AD393BF" w:rsidR="000163EE" w:rsidRPr="005B13A9" w:rsidRDefault="00E51227" w:rsidP="00720057">
      <w:pPr>
        <w:pStyle w:val="ListParagraph"/>
        <w:numPr>
          <w:ilvl w:val="1"/>
          <w:numId w:val="9"/>
        </w:numPr>
        <w:autoSpaceDE w:val="0"/>
        <w:autoSpaceDN w:val="0"/>
        <w:adjustRightInd w:val="0"/>
        <w:spacing w:after="120"/>
        <w:ind w:left="709" w:hanging="709"/>
        <w:jc w:val="both"/>
      </w:pPr>
      <w:r>
        <w:rPr>
          <w:bCs/>
        </w:rPr>
        <w:t>As at Quarter 2</w:t>
      </w:r>
      <w:r w:rsidR="002A6274" w:rsidRPr="00440EBF">
        <w:rPr>
          <w:bCs/>
        </w:rPr>
        <w:t xml:space="preserve"> the forec</w:t>
      </w:r>
      <w:r>
        <w:rPr>
          <w:bCs/>
        </w:rPr>
        <w:t>ast spend is £16.563m 46</w:t>
      </w:r>
      <w:r w:rsidR="002A6274" w:rsidRPr="003728EE">
        <w:rPr>
          <w:bCs/>
        </w:rPr>
        <w:t xml:space="preserve">% of the approved </w:t>
      </w:r>
      <w:r w:rsidR="009464B2">
        <w:rPr>
          <w:bCs/>
        </w:rPr>
        <w:tab/>
      </w:r>
      <w:r w:rsidR="002A6274" w:rsidRPr="0039329E">
        <w:rPr>
          <w:bCs/>
        </w:rPr>
        <w:t>budget.</w:t>
      </w:r>
    </w:p>
    <w:p w14:paraId="76647CC2" w14:textId="31D7D8E2" w:rsidR="002A6274" w:rsidRPr="008A73C4" w:rsidRDefault="000163EE" w:rsidP="00720057">
      <w:pPr>
        <w:pStyle w:val="ListParagraph"/>
        <w:numPr>
          <w:ilvl w:val="1"/>
          <w:numId w:val="9"/>
        </w:numPr>
        <w:autoSpaceDE w:val="0"/>
        <w:autoSpaceDN w:val="0"/>
        <w:adjustRightInd w:val="0"/>
        <w:spacing w:after="240"/>
        <w:ind w:left="709" w:hanging="709"/>
        <w:jc w:val="both"/>
      </w:pPr>
      <w:r w:rsidRPr="0039329E">
        <w:rPr>
          <w:bCs/>
        </w:rPr>
        <w:t xml:space="preserve">The budget for the school expansion programme through to 2019-20 </w:t>
      </w:r>
      <w:r w:rsidR="00A52D69">
        <w:rPr>
          <w:bCs/>
        </w:rPr>
        <w:tab/>
      </w:r>
      <w:r w:rsidRPr="0039329E">
        <w:rPr>
          <w:bCs/>
        </w:rPr>
        <w:t>is</w:t>
      </w:r>
      <w:r w:rsidR="009464CF">
        <w:rPr>
          <w:bCs/>
        </w:rPr>
        <w:t xml:space="preserve"> </w:t>
      </w:r>
      <w:r w:rsidRPr="0039329E">
        <w:rPr>
          <w:bCs/>
        </w:rPr>
        <w:t xml:space="preserve">£142.577m. </w:t>
      </w:r>
    </w:p>
    <w:p w14:paraId="08131145" w14:textId="34DA062E" w:rsidR="0062479E" w:rsidRPr="00A17813" w:rsidRDefault="0062479E" w:rsidP="00FD7191">
      <w:pPr>
        <w:pStyle w:val="Default"/>
        <w:spacing w:after="120"/>
        <w:ind w:firstLine="709"/>
        <w:jc w:val="both"/>
      </w:pPr>
      <w:r w:rsidRPr="00A17813">
        <w:t>SEP1 and SEP2</w:t>
      </w:r>
    </w:p>
    <w:p w14:paraId="752785DE" w14:textId="77777777" w:rsidR="00E51227" w:rsidRPr="00E51227" w:rsidRDefault="00E51227" w:rsidP="00720057">
      <w:pPr>
        <w:pStyle w:val="ListParagraph"/>
        <w:numPr>
          <w:ilvl w:val="1"/>
          <w:numId w:val="9"/>
        </w:numPr>
        <w:autoSpaceDE w:val="0"/>
        <w:autoSpaceDN w:val="0"/>
        <w:adjustRightInd w:val="0"/>
        <w:spacing w:after="120"/>
        <w:ind w:left="709" w:hanging="709"/>
        <w:jc w:val="both"/>
      </w:pPr>
      <w:r w:rsidRPr="00E51227">
        <w:rPr>
          <w:bCs/>
        </w:rPr>
        <w:t>The Council employs cost consultants to provide valuations of the works carried out by the contractors.  Cabinet in June 2016 approved merger of the uncommitted SEP4 programme budgets, anticipated to be delivered by the Free School Programme, and the SEP2 programme budgets and, based on the current work being undertaken to close the final accounts, there will be sufficient funding to meeting this pressure.  However, the account valuations provided by the contractor vary significantly to those provided by the council’s cost consultants and this could be a further pressure, and may require council borrowing to fund</w:t>
      </w:r>
      <w:r>
        <w:rPr>
          <w:bCs/>
        </w:rPr>
        <w:t>.</w:t>
      </w:r>
    </w:p>
    <w:p w14:paraId="0938AC85" w14:textId="77777777" w:rsidR="00422246" w:rsidRPr="00422246" w:rsidRDefault="00422246" w:rsidP="00CE38D4">
      <w:pPr>
        <w:pStyle w:val="ListParagraph"/>
        <w:numPr>
          <w:ilvl w:val="1"/>
          <w:numId w:val="9"/>
        </w:numPr>
        <w:autoSpaceDE w:val="0"/>
        <w:autoSpaceDN w:val="0"/>
        <w:adjustRightInd w:val="0"/>
        <w:spacing w:after="240"/>
        <w:ind w:left="709" w:hanging="709"/>
        <w:jc w:val="both"/>
      </w:pPr>
      <w:r w:rsidRPr="00422246">
        <w:rPr>
          <w:bCs/>
        </w:rPr>
        <w:t>The forecasts continue to be monitored and updated as projects are completed and the accounts clarified and agreed with the contractors.  Work is being undertaken with Legal Services to support the process of closing the programme with Keepmoat. The purposes of the Q2 budget monitoring report, these are forecast to spend to budget</w:t>
      </w:r>
      <w:r>
        <w:rPr>
          <w:bCs/>
        </w:rPr>
        <w:t>.</w:t>
      </w:r>
    </w:p>
    <w:p w14:paraId="4A5D3BB5" w14:textId="463DD23B" w:rsidR="00A52D69" w:rsidRPr="00A17813" w:rsidRDefault="0062479E" w:rsidP="00FD7191">
      <w:pPr>
        <w:pStyle w:val="Default"/>
        <w:spacing w:after="120"/>
        <w:ind w:firstLine="709"/>
        <w:jc w:val="both"/>
      </w:pPr>
      <w:r w:rsidRPr="00A17813">
        <w:t xml:space="preserve">SEP3 </w:t>
      </w:r>
    </w:p>
    <w:p w14:paraId="7D28DBD9" w14:textId="77777777" w:rsidR="00422246" w:rsidRDefault="00422246" w:rsidP="00720057">
      <w:pPr>
        <w:pStyle w:val="ListParagraph"/>
        <w:numPr>
          <w:ilvl w:val="1"/>
          <w:numId w:val="9"/>
        </w:numPr>
        <w:autoSpaceDE w:val="0"/>
        <w:autoSpaceDN w:val="0"/>
        <w:adjustRightInd w:val="0"/>
        <w:spacing w:after="120"/>
        <w:ind w:left="709" w:hanging="709"/>
        <w:jc w:val="both"/>
      </w:pPr>
      <w:r w:rsidRPr="00422246">
        <w:t>In September 2016 Cabinet approved a virement to move funds from funding identified for secondary school expansion programme to SEP 3 to address the projected shortfall of £1.6m. The position with the school projections reported to Cabinet in July 2016, indicate that the demand for secondary school places is lower than previously expected and there will be a shortfall at a later stage than anticipated, from 2022. The borrowing requirement for the secondary expansion programme will need to be increased by the amount of the virement and this will increase the value of the Schools Capital Programme but this is likely to be beyond 2019-20</w:t>
      </w:r>
      <w:r>
        <w:t>.</w:t>
      </w:r>
    </w:p>
    <w:p w14:paraId="57F6E96D" w14:textId="77777777" w:rsidR="00422246" w:rsidRDefault="00422246" w:rsidP="00720057">
      <w:pPr>
        <w:pStyle w:val="ListParagraph"/>
        <w:numPr>
          <w:ilvl w:val="1"/>
          <w:numId w:val="9"/>
        </w:numPr>
        <w:autoSpaceDE w:val="0"/>
        <w:autoSpaceDN w:val="0"/>
        <w:adjustRightInd w:val="0"/>
        <w:spacing w:after="120"/>
        <w:ind w:left="709" w:hanging="709"/>
        <w:jc w:val="both"/>
      </w:pPr>
      <w:r w:rsidRPr="00422246">
        <w:t>The forecasts provided by the council’s cost consultants include the three schemes which have been approved by planning, as well as the two schemes at Welldon Park Junior site and the Stag Lane schools which are still subject to planning approval</w:t>
      </w:r>
      <w:r>
        <w:t>.</w:t>
      </w:r>
    </w:p>
    <w:p w14:paraId="1F27A54A" w14:textId="77777777" w:rsidR="00422246" w:rsidRDefault="00422246" w:rsidP="00720057">
      <w:pPr>
        <w:pStyle w:val="ListParagraph"/>
        <w:numPr>
          <w:ilvl w:val="1"/>
          <w:numId w:val="9"/>
        </w:numPr>
        <w:autoSpaceDE w:val="0"/>
        <w:autoSpaceDN w:val="0"/>
        <w:adjustRightInd w:val="0"/>
        <w:spacing w:after="120"/>
        <w:ind w:left="709" w:hanging="644"/>
        <w:jc w:val="both"/>
      </w:pPr>
      <w:r w:rsidRPr="00422246">
        <w:t>The Welldon Park Junior and Stag Lane schools schemes are still going through the value engineering process and where possible costs will be driven down.  However, as these two schemes are subject to planning approval there could be further works or redesigns required to meet any additional planning conditions could put further financial pressure on this programme.  Any pressure on this programme will result in an overspend which would have to be funded from Council borrowing</w:t>
      </w:r>
      <w:r>
        <w:t>.</w:t>
      </w:r>
    </w:p>
    <w:p w14:paraId="58A938AE" w14:textId="77777777" w:rsidR="00422246" w:rsidRDefault="00422246" w:rsidP="00487842">
      <w:pPr>
        <w:pStyle w:val="ListParagraph"/>
        <w:numPr>
          <w:ilvl w:val="1"/>
          <w:numId w:val="9"/>
        </w:numPr>
        <w:autoSpaceDE w:val="0"/>
        <w:autoSpaceDN w:val="0"/>
        <w:adjustRightInd w:val="0"/>
        <w:spacing w:after="240"/>
        <w:ind w:left="709" w:hanging="709"/>
        <w:jc w:val="both"/>
      </w:pPr>
      <w:r w:rsidRPr="00422246">
        <w:t xml:space="preserve">Weald Rise Primary School, also part of SEP3, is being rebuilt as part of the Priority School Building Programme.  However the expansion of the school is in addition to the works being provided by the EFA.  </w:t>
      </w:r>
      <w:r w:rsidRPr="00422246">
        <w:lastRenderedPageBreak/>
        <w:t>Therefore the council has committed to a top up fee in order to deliver the expansion element of this programme, totalling £2.28m.  This is included in the overall budget for the programme</w:t>
      </w:r>
      <w:r>
        <w:t>.</w:t>
      </w:r>
    </w:p>
    <w:p w14:paraId="415BE972" w14:textId="68B8493A" w:rsidR="0062479E" w:rsidRPr="00920AC4" w:rsidRDefault="0062479E" w:rsidP="00487842">
      <w:pPr>
        <w:autoSpaceDE w:val="0"/>
        <w:autoSpaceDN w:val="0"/>
        <w:adjustRightInd w:val="0"/>
        <w:spacing w:after="240"/>
        <w:ind w:left="360" w:firstLine="349"/>
        <w:jc w:val="both"/>
        <w:rPr>
          <w:i/>
          <w:u w:val="single"/>
        </w:rPr>
      </w:pPr>
      <w:r w:rsidRPr="00920AC4">
        <w:rPr>
          <w:i/>
          <w:u w:val="single"/>
        </w:rPr>
        <w:t>S</w:t>
      </w:r>
      <w:r w:rsidR="006D2493" w:rsidRPr="00920AC4">
        <w:rPr>
          <w:i/>
          <w:u w:val="single"/>
        </w:rPr>
        <w:t>lippages</w:t>
      </w:r>
      <w:r w:rsidR="00422246" w:rsidRPr="00920AC4">
        <w:rPr>
          <w:i/>
          <w:u w:val="single"/>
        </w:rPr>
        <w:t xml:space="preserve"> and Implication</w:t>
      </w:r>
    </w:p>
    <w:p w14:paraId="293A18AC" w14:textId="2F13E77F" w:rsidR="00422246" w:rsidRDefault="00422246" w:rsidP="00720057">
      <w:pPr>
        <w:pStyle w:val="ListParagraph"/>
        <w:numPr>
          <w:ilvl w:val="1"/>
          <w:numId w:val="9"/>
        </w:numPr>
        <w:autoSpaceDE w:val="0"/>
        <w:autoSpaceDN w:val="0"/>
        <w:adjustRightInd w:val="0"/>
        <w:spacing w:after="120"/>
        <w:ind w:left="709" w:hanging="709"/>
        <w:jc w:val="both"/>
      </w:pPr>
      <w:r w:rsidRPr="00422246">
        <w:t>The reported slippage as at Q2 is £19.170m. The majority of slippage of £10.455m relates to Stag Lane and We</w:t>
      </w:r>
      <w:r w:rsidR="00C43C44">
        <w:t xml:space="preserve">lldon Park Junior Schools which </w:t>
      </w:r>
      <w:r w:rsidRPr="00422246">
        <w:t>are</w:t>
      </w:r>
      <w:r w:rsidR="00C43C44">
        <w:t xml:space="preserve"> </w:t>
      </w:r>
      <w:r w:rsidRPr="00422246">
        <w:t>part of phase 3 of the expansion programme. Both schemes are still subject to planning approval in in autumn 2016 and spring 2017 respectively and therefore the majority of the work will be undertaken in 2017-18. There is minimal impact to the schools as a result of these delays since the expanded year group at Welldon Park is still working its way through the infants (which is on a separate site and whose building works were completed for September 2016). There will be sufficient capacity in the junior school until building works are completed for September 2017. In relation to Stag Lane the school expanded its pupil numbers from September 2016 and there will also be sufficient capacity within the school to accommodate the increased numbers until the building works are completed for September 2017</w:t>
      </w:r>
      <w:r>
        <w:t>.</w:t>
      </w:r>
    </w:p>
    <w:p w14:paraId="765A17F0" w14:textId="77777777" w:rsidR="00422246" w:rsidRDefault="00422246" w:rsidP="00720057">
      <w:pPr>
        <w:pStyle w:val="ListParagraph"/>
        <w:numPr>
          <w:ilvl w:val="1"/>
          <w:numId w:val="9"/>
        </w:numPr>
        <w:autoSpaceDE w:val="0"/>
        <w:autoSpaceDN w:val="0"/>
        <w:adjustRightInd w:val="0"/>
        <w:spacing w:after="120"/>
        <w:ind w:left="709" w:hanging="709"/>
        <w:jc w:val="both"/>
      </w:pPr>
      <w:r w:rsidRPr="00422246">
        <w:t>The position with the school projections reported to Cabinet in July 2016, indicate that the demand for secondary school places is lower than previously expected and there will be a shortfall at a later stage than anticipated, from 2022. It is therefore proposed to slip £945k of Secondary provision funding into 2017-18. In addition £4.620m of SEN funding will also be slipped into 2017-18 as this programme is still at the scoping stage</w:t>
      </w:r>
      <w:r>
        <w:t>.</w:t>
      </w:r>
    </w:p>
    <w:p w14:paraId="4FECF885" w14:textId="00DE2126" w:rsidR="00422246" w:rsidRDefault="00422246" w:rsidP="00487842">
      <w:pPr>
        <w:pStyle w:val="ListParagraph"/>
        <w:numPr>
          <w:ilvl w:val="1"/>
          <w:numId w:val="9"/>
        </w:numPr>
        <w:autoSpaceDE w:val="0"/>
        <w:autoSpaceDN w:val="0"/>
        <w:adjustRightInd w:val="0"/>
        <w:spacing w:after="240"/>
        <w:ind w:left="709" w:hanging="709"/>
        <w:jc w:val="both"/>
      </w:pPr>
      <w:r w:rsidRPr="00422246">
        <w:t>The majority of the remainder of the slippage relates to rolling programmes for amalgamations, bulge classes and capital maintenance</w:t>
      </w:r>
      <w:r>
        <w:t>.</w:t>
      </w:r>
    </w:p>
    <w:p w14:paraId="68B95DA1" w14:textId="680AA32E" w:rsidR="0062479E" w:rsidRPr="00173DA5" w:rsidRDefault="00A34F3C" w:rsidP="00487842">
      <w:pPr>
        <w:autoSpaceDE w:val="0"/>
        <w:autoSpaceDN w:val="0"/>
        <w:adjustRightInd w:val="0"/>
        <w:spacing w:after="240"/>
        <w:ind w:firstLine="709"/>
        <w:jc w:val="both"/>
        <w:rPr>
          <w:bCs/>
          <w:i/>
          <w:u w:val="single"/>
        </w:rPr>
      </w:pPr>
      <w:r w:rsidRPr="00173DA5">
        <w:rPr>
          <w:bCs/>
          <w:i/>
          <w:u w:val="single"/>
        </w:rPr>
        <w:t>ADDITION TO CAPITAL PROGRAMME</w:t>
      </w:r>
    </w:p>
    <w:p w14:paraId="592023DD" w14:textId="17B65A30" w:rsidR="00422246" w:rsidRDefault="00422246" w:rsidP="00720057">
      <w:pPr>
        <w:pStyle w:val="ListParagraph"/>
        <w:numPr>
          <w:ilvl w:val="1"/>
          <w:numId w:val="9"/>
        </w:numPr>
        <w:autoSpaceDE w:val="0"/>
        <w:autoSpaceDN w:val="0"/>
        <w:adjustRightInd w:val="0"/>
        <w:spacing w:after="120"/>
        <w:ind w:left="709" w:hanging="709"/>
        <w:jc w:val="both"/>
      </w:pPr>
      <w:r w:rsidRPr="00422246">
        <w:t>Ma</w:t>
      </w:r>
      <w:r w:rsidR="00920AC4">
        <w:t>rlborough School - a</w:t>
      </w:r>
      <w:r w:rsidR="00CB7520">
        <w:t xml:space="preserve"> request</w:t>
      </w:r>
      <w:r w:rsidRPr="00422246">
        <w:t xml:space="preserve"> to increase the capital programme for Marlborough School by £214k. Marlborough School was rebuilt in 2016 as part of the EFA funded Priority Schools Building Programme (PSBP). The school requested that the EFA include capacity for nursery provision which would be funded by the school. As the EFA do not have a financial funding relationship with maintained schools the LA signed a letter on behalf of the school to guarantee the funding for the nursery. Marlborough school in turn have provided the funding to the LA. The capital programme needs to increase by £214k to reflect the increased cost which is externally funded by the school and cost neutral to the council</w:t>
      </w:r>
      <w:r>
        <w:t>.</w:t>
      </w:r>
    </w:p>
    <w:p w14:paraId="0C1448AE" w14:textId="5F7EC6CA" w:rsidR="00422246" w:rsidRDefault="00422246" w:rsidP="00487842">
      <w:pPr>
        <w:pStyle w:val="ListParagraph"/>
        <w:numPr>
          <w:ilvl w:val="1"/>
          <w:numId w:val="9"/>
        </w:numPr>
        <w:autoSpaceDE w:val="0"/>
        <w:autoSpaceDN w:val="0"/>
        <w:adjustRightInd w:val="0"/>
        <w:spacing w:after="240"/>
        <w:ind w:left="709" w:hanging="709"/>
        <w:jc w:val="both"/>
      </w:pPr>
      <w:r w:rsidRPr="00422246">
        <w:t>Weald Ri</w:t>
      </w:r>
      <w:r w:rsidR="008A0032">
        <w:t>se School (SEP3) - a</w:t>
      </w:r>
      <w:r w:rsidRPr="00422246">
        <w:t xml:space="preserve"> requested to increase the capital programme for Weald Rise School by £99k. Weald Rise Primary School is also being rebuilt as part of the Priority School Building Programme.  The school has asked for increased specification in relation to changing rooms at the cost of the school. As the EFA do not have a financial funding relationship with maintained schools the LA signed a letter on behalf of the school to guarantee the funding for </w:t>
      </w:r>
      <w:r w:rsidRPr="00422246">
        <w:lastRenderedPageBreak/>
        <w:t>the changing rooms. Weald Rise School in turn have provided the funding to the LA. The capital programme needs to increase by £99k to reflect the increased cost which is externally funded by the school and cost neutral to the council</w:t>
      </w:r>
      <w:r>
        <w:t>.</w:t>
      </w:r>
    </w:p>
    <w:p w14:paraId="6FD359C1" w14:textId="77777777" w:rsidR="002A6274" w:rsidRPr="00321915" w:rsidRDefault="002A6274" w:rsidP="00487842">
      <w:pPr>
        <w:autoSpaceDE w:val="0"/>
        <w:autoSpaceDN w:val="0"/>
        <w:adjustRightInd w:val="0"/>
        <w:spacing w:after="240"/>
        <w:jc w:val="both"/>
        <w:rPr>
          <w:b/>
        </w:rPr>
      </w:pPr>
      <w:r w:rsidRPr="00321915">
        <w:rPr>
          <w:b/>
        </w:rPr>
        <w:t>REGENERATION</w:t>
      </w:r>
    </w:p>
    <w:p w14:paraId="17DB3D86" w14:textId="5D220CBB" w:rsidR="002807EE" w:rsidRPr="00C70F96" w:rsidRDefault="002A6274" w:rsidP="00487842">
      <w:pPr>
        <w:pStyle w:val="ListParagraph"/>
        <w:numPr>
          <w:ilvl w:val="1"/>
          <w:numId w:val="9"/>
        </w:numPr>
        <w:autoSpaceDE w:val="0"/>
        <w:autoSpaceDN w:val="0"/>
        <w:adjustRightInd w:val="0"/>
        <w:spacing w:after="240"/>
        <w:ind w:left="709" w:hanging="709"/>
        <w:jc w:val="both"/>
        <w:rPr>
          <w:b/>
          <w:u w:val="single"/>
        </w:rPr>
      </w:pPr>
      <w:r w:rsidRPr="00920AC4">
        <w:t>T</w:t>
      </w:r>
      <w:r w:rsidR="005E44E4" w:rsidRPr="00920AC4">
        <w:t>he Di</w:t>
      </w:r>
      <w:r w:rsidR="00422246" w:rsidRPr="00920AC4">
        <w:t>vision forecast to spend £10.</w:t>
      </w:r>
      <w:r w:rsidR="002807EE" w:rsidRPr="00920AC4">
        <w:t>708</w:t>
      </w:r>
      <w:r w:rsidR="005E44E4" w:rsidRPr="00920AC4">
        <w:t xml:space="preserve">m </w:t>
      </w:r>
      <w:r w:rsidR="00193934" w:rsidRPr="00920AC4">
        <w:t xml:space="preserve">against budget of £22.160m </w:t>
      </w:r>
      <w:r w:rsidRPr="00920AC4">
        <w:t xml:space="preserve">on this year’s </w:t>
      </w:r>
      <w:r w:rsidR="00422246" w:rsidRPr="00920AC4">
        <w:t>b</w:t>
      </w:r>
      <w:r w:rsidRPr="00920AC4">
        <w:t>udget allocation.</w:t>
      </w:r>
      <w:r w:rsidR="002807EE" w:rsidRPr="00920AC4">
        <w:t xml:space="preserve"> Slippage of £8.992m relates to unavoidable delays, relating to land assembly, planning outcomes and unpredictable approval delays to procurement processes. Underspend of £2.46</w:t>
      </w:r>
      <w:r w:rsidR="00193934" w:rsidRPr="00920AC4">
        <w:t>0</w:t>
      </w:r>
      <w:r w:rsidR="002807EE" w:rsidRPr="00920AC4">
        <w:t xml:space="preserve">m relates to Stanmore Innovation – opportunity to purchase </w:t>
      </w:r>
      <w:r w:rsidR="00F277FB">
        <w:t xml:space="preserve">the </w:t>
      </w:r>
      <w:r w:rsidR="002807EE" w:rsidRPr="00920AC4">
        <w:t xml:space="preserve">property no longer exists. </w:t>
      </w:r>
    </w:p>
    <w:p w14:paraId="2435FE82" w14:textId="50D404A3" w:rsidR="002A6274" w:rsidRPr="00321915" w:rsidRDefault="00202B1C" w:rsidP="00487842">
      <w:pPr>
        <w:autoSpaceDE w:val="0"/>
        <w:autoSpaceDN w:val="0"/>
        <w:adjustRightInd w:val="0"/>
        <w:spacing w:after="240"/>
        <w:jc w:val="both"/>
        <w:rPr>
          <w:b/>
        </w:rPr>
      </w:pPr>
      <w:r w:rsidRPr="00321915">
        <w:rPr>
          <w:b/>
        </w:rPr>
        <w:t>H</w:t>
      </w:r>
      <w:r w:rsidR="006A0E09" w:rsidRPr="00321915">
        <w:rPr>
          <w:b/>
        </w:rPr>
        <w:t>OUSING REVENUE ACCOUNT</w:t>
      </w:r>
    </w:p>
    <w:p w14:paraId="46718350" w14:textId="1AF35B30" w:rsidR="002A6274" w:rsidRPr="00920AC4" w:rsidRDefault="00F277FB" w:rsidP="00FD7191">
      <w:pPr>
        <w:pStyle w:val="ListParagraph"/>
        <w:numPr>
          <w:ilvl w:val="1"/>
          <w:numId w:val="9"/>
        </w:numPr>
        <w:autoSpaceDE w:val="0"/>
        <w:autoSpaceDN w:val="0"/>
        <w:adjustRightInd w:val="0"/>
        <w:spacing w:after="120"/>
        <w:ind w:left="709" w:hanging="709"/>
        <w:jc w:val="both"/>
      </w:pPr>
      <w:r>
        <w:t>As at Quarter 2 the</w:t>
      </w:r>
      <w:r w:rsidR="00422246" w:rsidRPr="00920AC4">
        <w:t xml:space="preserve"> forecast </w:t>
      </w:r>
      <w:r>
        <w:t xml:space="preserve">spend </w:t>
      </w:r>
      <w:r w:rsidR="00422246" w:rsidRPr="00920AC4">
        <w:t>is £17.</w:t>
      </w:r>
      <w:r w:rsidR="00A34F3C" w:rsidRPr="00920AC4">
        <w:t>399m, 58</w:t>
      </w:r>
      <w:r w:rsidR="00EB4D15" w:rsidRPr="00920AC4">
        <w:t>% of the 2016/17</w:t>
      </w:r>
      <w:r w:rsidR="002A6274" w:rsidRPr="00920AC4">
        <w:t xml:space="preserve"> </w:t>
      </w:r>
      <w:r w:rsidR="005155C8" w:rsidRPr="00920AC4">
        <w:tab/>
      </w:r>
      <w:r w:rsidR="002A6274" w:rsidRPr="00920AC4">
        <w:t>HRA’s latest capital Budget</w:t>
      </w:r>
    </w:p>
    <w:p w14:paraId="3844140F" w14:textId="78A19B6A" w:rsidR="00287B24" w:rsidRPr="00920AC4" w:rsidRDefault="00EB4D15" w:rsidP="00FD7191">
      <w:pPr>
        <w:pStyle w:val="ListParagraph"/>
        <w:numPr>
          <w:ilvl w:val="1"/>
          <w:numId w:val="9"/>
        </w:numPr>
        <w:autoSpaceDE w:val="0"/>
        <w:autoSpaceDN w:val="0"/>
        <w:adjustRightInd w:val="0"/>
        <w:spacing w:after="120"/>
        <w:ind w:left="709" w:hanging="709"/>
        <w:jc w:val="both"/>
      </w:pPr>
      <w:r w:rsidRPr="00920AC4">
        <w:t>The forecast</w:t>
      </w:r>
      <w:r w:rsidR="00A34F3C" w:rsidRPr="00920AC4">
        <w:t xml:space="preserve"> under spend is £12.423</w:t>
      </w:r>
      <w:r w:rsidR="002A6274" w:rsidRPr="00920AC4">
        <w:t>m</w:t>
      </w:r>
      <w:r w:rsidRPr="00920AC4">
        <w:t xml:space="preserve"> </w:t>
      </w:r>
      <w:r w:rsidR="00A34F3C" w:rsidRPr="00920AC4">
        <w:t xml:space="preserve">which </w:t>
      </w:r>
      <w:r w:rsidR="002A6274" w:rsidRPr="00920AC4">
        <w:t xml:space="preserve">will </w:t>
      </w:r>
      <w:r w:rsidR="00A34F3C" w:rsidRPr="00920AC4">
        <w:t>all be slipped to 2017/18.</w:t>
      </w:r>
      <w:r w:rsidR="000743C7" w:rsidRPr="00920AC4">
        <w:t xml:space="preserve"> </w:t>
      </w:r>
      <w:r w:rsidR="00920AC4" w:rsidRPr="00920AC4">
        <w:t>The main HRA programme and Homes-4-Harrow are expected to be £1.978m and £10.445m below budget respectively, and both expected to be carried over into next year. HRA Capital expenditure is funded entirely from HRA resources</w:t>
      </w:r>
      <w:r w:rsidR="00920AC4">
        <w:t>.</w:t>
      </w:r>
      <w:r w:rsidR="002738A7" w:rsidRPr="00920AC4">
        <w:t xml:space="preserve"> </w:t>
      </w:r>
    </w:p>
    <w:p w14:paraId="403AB2BB" w14:textId="6AD42B57" w:rsidR="00920AC4" w:rsidRDefault="00920AC4" w:rsidP="00487842">
      <w:pPr>
        <w:pStyle w:val="ListParagraph"/>
        <w:numPr>
          <w:ilvl w:val="1"/>
          <w:numId w:val="9"/>
        </w:numPr>
        <w:autoSpaceDE w:val="0"/>
        <w:autoSpaceDN w:val="0"/>
        <w:adjustRightInd w:val="0"/>
        <w:spacing w:after="240"/>
        <w:ind w:left="709" w:hanging="709"/>
        <w:jc w:val="both"/>
      </w:pPr>
      <w:r w:rsidRPr="00920AC4">
        <w:t>These adjustments to capital programme will not have any wider impact on delivery of the approved programme of works, which already has sufficient budget provision</w:t>
      </w:r>
      <w:r>
        <w:t>.</w:t>
      </w:r>
    </w:p>
    <w:p w14:paraId="7D0E3AA7" w14:textId="77777777" w:rsidR="00CF3C3D" w:rsidRDefault="00CF3C3D" w:rsidP="00487842">
      <w:pPr>
        <w:pStyle w:val="ListParagraph"/>
        <w:autoSpaceDE w:val="0"/>
        <w:autoSpaceDN w:val="0"/>
        <w:adjustRightInd w:val="0"/>
        <w:spacing w:after="240"/>
        <w:ind w:left="360"/>
        <w:jc w:val="both"/>
        <w:rPr>
          <w:szCs w:val="24"/>
        </w:rPr>
      </w:pPr>
    </w:p>
    <w:p w14:paraId="7C5555B3" w14:textId="77777777" w:rsidR="00741AEB" w:rsidRPr="009E22B0" w:rsidRDefault="0020754A" w:rsidP="00FC2412">
      <w:pPr>
        <w:autoSpaceDE w:val="0"/>
        <w:autoSpaceDN w:val="0"/>
        <w:adjustRightInd w:val="0"/>
        <w:spacing w:after="240"/>
        <w:jc w:val="both"/>
        <w:rPr>
          <w:b/>
          <w:sz w:val="28"/>
          <w:szCs w:val="28"/>
        </w:rPr>
      </w:pPr>
      <w:r w:rsidRPr="00835EA0">
        <w:rPr>
          <w:b/>
          <w:sz w:val="28"/>
          <w:szCs w:val="28"/>
        </w:rPr>
        <w:t>4</w:t>
      </w:r>
      <w:r w:rsidRPr="00835EA0">
        <w:rPr>
          <w:sz w:val="28"/>
          <w:szCs w:val="28"/>
        </w:rPr>
        <w:t>.</w:t>
      </w:r>
      <w:r w:rsidR="00C71B6A">
        <w:rPr>
          <w:szCs w:val="24"/>
        </w:rPr>
        <w:t xml:space="preserve">  </w:t>
      </w:r>
      <w:r w:rsidR="005E0EC3" w:rsidRPr="009E22B0">
        <w:rPr>
          <w:b/>
          <w:sz w:val="28"/>
          <w:szCs w:val="28"/>
        </w:rPr>
        <w:t>Legal Implication</w:t>
      </w:r>
    </w:p>
    <w:p w14:paraId="70C5BE44" w14:textId="49952DCF" w:rsidR="005E0EC3" w:rsidRDefault="0020754A" w:rsidP="00720057">
      <w:pPr>
        <w:spacing w:after="120"/>
        <w:ind w:left="709" w:hanging="709"/>
        <w:jc w:val="both"/>
      </w:pPr>
      <w:r>
        <w:t>4.1</w:t>
      </w:r>
      <w:r>
        <w:tab/>
      </w:r>
      <w:r w:rsidR="005E0EC3" w:rsidRPr="005E0EC3">
        <w:t xml:space="preserve">Section 151 of the Local Government Act 1972 states that without </w:t>
      </w:r>
      <w:r>
        <w:tab/>
      </w:r>
      <w:r w:rsidR="005E0EC3" w:rsidRPr="005E0EC3">
        <w:t xml:space="preserve">prejudice to section 111, every local authority shall make arrangements </w:t>
      </w:r>
      <w:r w:rsidR="00720057">
        <w:t>f</w:t>
      </w:r>
      <w:r w:rsidR="005E0EC3" w:rsidRPr="005E0EC3">
        <w:t>or the proper administration of their financial affairs and shall secure that one of their officers has responsibility for the administration of those affairs”. Section 28 of the Local Government Act 2003 imposes a</w:t>
      </w:r>
      <w:r>
        <w:tab/>
      </w:r>
      <w:r w:rsidR="005E0EC3" w:rsidRPr="005E0EC3">
        <w:t>statutory duty on a billing or major precepting authority to monitor,</w:t>
      </w:r>
      <w:r>
        <w:tab/>
      </w:r>
      <w:r w:rsidR="005E0EC3" w:rsidRPr="005E0EC3">
        <w:t>during the financial year, its income and expenditure against budget</w:t>
      </w:r>
      <w:r w:rsidR="00720057">
        <w:t xml:space="preserve"> </w:t>
      </w:r>
      <w:r w:rsidR="005E0EC3" w:rsidRPr="005E0EC3">
        <w:t>calculations</w:t>
      </w:r>
      <w:r w:rsidR="005E0EC3">
        <w:t>.</w:t>
      </w:r>
    </w:p>
    <w:p w14:paraId="6D213BD9" w14:textId="22DCDD72" w:rsidR="005E0EC3" w:rsidRDefault="0020754A" w:rsidP="00720057">
      <w:pPr>
        <w:pStyle w:val="ListParagraph"/>
        <w:numPr>
          <w:ilvl w:val="1"/>
          <w:numId w:val="10"/>
        </w:numPr>
        <w:spacing w:after="120"/>
        <w:ind w:left="709" w:hanging="709"/>
        <w:jc w:val="both"/>
      </w:pPr>
      <w:r>
        <w:t xml:space="preserve"> </w:t>
      </w:r>
      <w:r w:rsidR="005E0EC3" w:rsidRPr="005E0EC3">
        <w:t xml:space="preserve">Under Allocation of Responsibilities in the Constitution, Council is </w:t>
      </w:r>
      <w:r>
        <w:tab/>
      </w:r>
      <w:r w:rsidR="005E0EC3" w:rsidRPr="005E0EC3">
        <w:t>responsible for all decisions, which are expected to result in variations</w:t>
      </w:r>
      <w:r w:rsidR="00720057">
        <w:t xml:space="preserve"> </w:t>
      </w:r>
      <w:r w:rsidR="005E0EC3" w:rsidRPr="005E0EC3">
        <w:t>to agreed revenue or capital budgets.  Cabinet must agree, or delegate</w:t>
      </w:r>
      <w:r w:rsidR="00720057">
        <w:t xml:space="preserve"> </w:t>
      </w:r>
      <w:r w:rsidR="005E0EC3" w:rsidRPr="005E0EC3">
        <w:t xml:space="preserve">agreement for all virements between budgets as set by the Financial </w:t>
      </w:r>
      <w:r>
        <w:tab/>
      </w:r>
      <w:r w:rsidR="005E0EC3" w:rsidRPr="005E0EC3">
        <w:t>Regulations</w:t>
      </w:r>
      <w:r w:rsidR="005E0EC3">
        <w:t>.</w:t>
      </w:r>
    </w:p>
    <w:p w14:paraId="2F01EB7E" w14:textId="34FE5547" w:rsidR="006C5594" w:rsidRDefault="006C5594" w:rsidP="00720057">
      <w:pPr>
        <w:pStyle w:val="ListParagraph"/>
        <w:numPr>
          <w:ilvl w:val="1"/>
          <w:numId w:val="10"/>
        </w:numPr>
        <w:spacing w:after="120"/>
        <w:ind w:left="709" w:hanging="709"/>
        <w:jc w:val="both"/>
      </w:pPr>
      <w:r>
        <w:t xml:space="preserve"> </w:t>
      </w:r>
      <w:r w:rsidR="005E0EC3" w:rsidRPr="006C5594">
        <w:t>Under the Council’s Financial Regulations</w:t>
      </w:r>
      <w:r w:rsidR="00F71339">
        <w:t xml:space="preserve"> B48</w:t>
      </w:r>
      <w:r w:rsidR="00720057">
        <w:t>, additions of up to £500k to</w:t>
      </w:r>
      <w:r>
        <w:t xml:space="preserve"> </w:t>
      </w:r>
      <w:r w:rsidR="005E0EC3" w:rsidRPr="006C5594">
        <w:t>the capital programme can be made by Cabinet in respect of specific projects where</w:t>
      </w:r>
    </w:p>
    <w:p w14:paraId="77B41DC2" w14:textId="77777777" w:rsidR="00202B1C" w:rsidRPr="004F40B6" w:rsidRDefault="00202B1C" w:rsidP="00173DA5">
      <w:pPr>
        <w:numPr>
          <w:ilvl w:val="1"/>
          <w:numId w:val="3"/>
        </w:numPr>
        <w:spacing w:after="240"/>
        <w:rPr>
          <w:szCs w:val="24"/>
        </w:rPr>
      </w:pPr>
      <w:r>
        <w:rPr>
          <w:rFonts w:ascii="ArialMT" w:hAnsi="ArialMT" w:cs="ArialMT"/>
          <w:szCs w:val="24"/>
          <w:lang w:eastAsia="en-GB"/>
        </w:rPr>
        <w:t>the expenditure is wholly covered by additional external sources;</w:t>
      </w:r>
    </w:p>
    <w:p w14:paraId="53E68546" w14:textId="77777777" w:rsidR="00202B1C" w:rsidRPr="006C5594" w:rsidRDefault="00202B1C" w:rsidP="00202B1C">
      <w:pPr>
        <w:autoSpaceDE w:val="0"/>
        <w:autoSpaceDN w:val="0"/>
        <w:adjustRightInd w:val="0"/>
        <w:spacing w:after="240"/>
        <w:ind w:left="1440" w:hanging="360"/>
        <w:rPr>
          <w:szCs w:val="24"/>
        </w:rPr>
      </w:pPr>
      <w:r>
        <w:rPr>
          <w:rFonts w:ascii="ArialMT" w:hAnsi="ArialMT" w:cs="ArialMT"/>
          <w:szCs w:val="24"/>
          <w:lang w:eastAsia="en-GB"/>
        </w:rPr>
        <w:lastRenderedPageBreak/>
        <w:t>b.</w:t>
      </w:r>
      <w:r>
        <w:rPr>
          <w:rFonts w:ascii="ArialMT" w:hAnsi="ArialMT" w:cs="ArialMT"/>
          <w:szCs w:val="24"/>
          <w:lang w:eastAsia="en-GB"/>
        </w:rPr>
        <w:tab/>
      </w:r>
      <w:r w:rsidRPr="006C5594">
        <w:rPr>
          <w:rFonts w:ascii="ArialMT" w:hAnsi="ArialMT" w:cs="ArialMT"/>
          <w:szCs w:val="24"/>
          <w:lang w:eastAsia="en-GB"/>
        </w:rPr>
        <w:t>the expenditure is in accordance with at least one of the priorities listed in the capital programme; and</w:t>
      </w:r>
    </w:p>
    <w:p w14:paraId="4D93BA8D" w14:textId="77777777" w:rsidR="00202B1C" w:rsidRPr="00202B1C" w:rsidRDefault="00202B1C" w:rsidP="00202B1C">
      <w:pPr>
        <w:autoSpaceDE w:val="0"/>
        <w:autoSpaceDN w:val="0"/>
        <w:adjustRightInd w:val="0"/>
        <w:spacing w:after="240"/>
        <w:ind w:left="1080"/>
        <w:rPr>
          <w:szCs w:val="24"/>
        </w:rPr>
      </w:pPr>
      <w:r>
        <w:rPr>
          <w:rFonts w:ascii="ArialMT" w:hAnsi="ArialMT" w:cs="ArialMT"/>
          <w:szCs w:val="24"/>
          <w:lang w:eastAsia="en-GB"/>
        </w:rPr>
        <w:t>c.</w:t>
      </w:r>
      <w:r>
        <w:rPr>
          <w:rFonts w:ascii="ArialMT" w:hAnsi="ArialMT" w:cs="ArialMT"/>
          <w:szCs w:val="24"/>
          <w:lang w:eastAsia="en-GB"/>
        </w:rPr>
        <w:tab/>
      </w:r>
      <w:r w:rsidRPr="00202B1C">
        <w:rPr>
          <w:rFonts w:ascii="ArialMT" w:hAnsi="ArialMT" w:cs="ArialMT"/>
          <w:szCs w:val="24"/>
          <w:lang w:eastAsia="en-GB"/>
        </w:rPr>
        <w:t>there are no significant full year revenue budget effects</w:t>
      </w:r>
    </w:p>
    <w:p w14:paraId="3768912F" w14:textId="77777777" w:rsidR="00202B1C" w:rsidRDefault="00202B1C" w:rsidP="00202B1C">
      <w:pPr>
        <w:autoSpaceDE w:val="0"/>
        <w:autoSpaceDN w:val="0"/>
        <w:adjustRightInd w:val="0"/>
        <w:spacing w:after="240"/>
        <w:ind w:left="709"/>
        <w:rPr>
          <w:szCs w:val="24"/>
        </w:rPr>
      </w:pPr>
      <w:r>
        <w:rPr>
          <w:szCs w:val="24"/>
        </w:rPr>
        <w:t xml:space="preserve">This provision is subject to an overall limit of £2.5m in any one financial year. </w:t>
      </w:r>
    </w:p>
    <w:p w14:paraId="52D16FB0" w14:textId="77777777" w:rsidR="00DD1DE4" w:rsidRDefault="00DD1DE4">
      <w:pPr>
        <w:spacing w:after="240"/>
        <w:rPr>
          <w:b/>
          <w:sz w:val="28"/>
          <w:szCs w:val="28"/>
        </w:rPr>
      </w:pPr>
    </w:p>
    <w:p w14:paraId="4720DE6C" w14:textId="77777777" w:rsidR="005E0EC3" w:rsidRPr="00D341B1" w:rsidRDefault="00835EA0">
      <w:pPr>
        <w:spacing w:after="240"/>
        <w:rPr>
          <w:b/>
          <w:sz w:val="28"/>
          <w:szCs w:val="28"/>
        </w:rPr>
      </w:pPr>
      <w:r>
        <w:rPr>
          <w:b/>
          <w:sz w:val="28"/>
          <w:szCs w:val="28"/>
        </w:rPr>
        <w:t xml:space="preserve">5. </w:t>
      </w:r>
      <w:r w:rsidR="005E0EC3" w:rsidRPr="00D341B1">
        <w:rPr>
          <w:b/>
          <w:sz w:val="28"/>
          <w:szCs w:val="28"/>
        </w:rPr>
        <w:t>Equalities</w:t>
      </w:r>
    </w:p>
    <w:p w14:paraId="5301B810" w14:textId="149920CC" w:rsidR="00741AEB" w:rsidRPr="00374CD9" w:rsidRDefault="00741AEB" w:rsidP="00D73C5B">
      <w:pPr>
        <w:pStyle w:val="ListParagraph"/>
        <w:numPr>
          <w:ilvl w:val="1"/>
          <w:numId w:val="11"/>
        </w:numPr>
        <w:spacing w:after="240"/>
        <w:ind w:left="709" w:hanging="709"/>
        <w:jc w:val="both"/>
      </w:pPr>
      <w:r w:rsidRPr="00374CD9">
        <w:t xml:space="preserve">Decision makers should have due regard to the public sector equality </w:t>
      </w:r>
      <w:r w:rsidR="0020754A">
        <w:tab/>
      </w:r>
      <w:r w:rsidRPr="00374CD9">
        <w:t xml:space="preserve">duty in making their decisions. The equalities duties are continuing </w:t>
      </w:r>
      <w:r w:rsidR="0020754A">
        <w:tab/>
      </w:r>
      <w:r w:rsidRPr="00374CD9">
        <w:t xml:space="preserve">duties they are not duties to secure a particular outcome. The </w:t>
      </w:r>
      <w:r w:rsidR="0020754A">
        <w:tab/>
      </w:r>
      <w:r w:rsidRPr="00374CD9">
        <w:t xml:space="preserve">equalities impact will be revisited on each of the proposals as they are developed. Consideration of the duties should precede the decision. It </w:t>
      </w:r>
      <w:r w:rsidR="0020754A">
        <w:tab/>
      </w:r>
      <w:r w:rsidRPr="00374CD9">
        <w:t xml:space="preserve">is important that Cabinet has regard to the statutory grounds in the light </w:t>
      </w:r>
      <w:r w:rsidR="0020754A">
        <w:tab/>
      </w:r>
      <w:r w:rsidRPr="00374CD9">
        <w:t xml:space="preserve">of all available material such as consultation responses. The statutory </w:t>
      </w:r>
      <w:r w:rsidR="0020754A">
        <w:tab/>
      </w:r>
      <w:r w:rsidRPr="00374CD9">
        <w:t xml:space="preserve">grounds of the public sector equality duty are found at section 149 of </w:t>
      </w:r>
      <w:r w:rsidR="00720057">
        <w:t>t</w:t>
      </w:r>
      <w:r w:rsidRPr="00374CD9">
        <w:t>he Equality Act 2010 and are as follows:</w:t>
      </w:r>
    </w:p>
    <w:p w14:paraId="03FF2E0F" w14:textId="261293CF" w:rsidR="00741AEB" w:rsidRPr="0020754A" w:rsidRDefault="0020754A" w:rsidP="00D73C5B">
      <w:pPr>
        <w:pStyle w:val="ListParagraph"/>
        <w:numPr>
          <w:ilvl w:val="1"/>
          <w:numId w:val="11"/>
        </w:numPr>
        <w:spacing w:after="240"/>
        <w:ind w:left="709" w:hanging="709"/>
        <w:jc w:val="both"/>
        <w:rPr>
          <w:szCs w:val="24"/>
        </w:rPr>
      </w:pPr>
      <w:r>
        <w:t xml:space="preserve"> </w:t>
      </w:r>
      <w:r w:rsidR="00741AEB" w:rsidRPr="00374CD9">
        <w:t>A public authority must, in the exercise of its functions, have due regard to the</w:t>
      </w:r>
      <w:r w:rsidR="00741AEB" w:rsidRPr="0020754A">
        <w:rPr>
          <w:szCs w:val="24"/>
        </w:rPr>
        <w:t xml:space="preserve"> need to:</w:t>
      </w:r>
    </w:p>
    <w:p w14:paraId="6F96ACAB" w14:textId="77777777" w:rsidR="00741AEB" w:rsidRPr="008B25B2" w:rsidRDefault="00751215" w:rsidP="00720057">
      <w:pPr>
        <w:pStyle w:val="ListParagraph"/>
        <w:numPr>
          <w:ilvl w:val="0"/>
          <w:numId w:val="14"/>
        </w:numPr>
        <w:spacing w:after="120"/>
        <w:jc w:val="both"/>
        <w:rPr>
          <w:szCs w:val="24"/>
        </w:rPr>
      </w:pPr>
      <w:r>
        <w:rPr>
          <w:szCs w:val="24"/>
        </w:rPr>
        <w:t>E</w:t>
      </w:r>
      <w:r w:rsidR="00741AEB" w:rsidRPr="006B1DE1">
        <w:rPr>
          <w:szCs w:val="24"/>
        </w:rPr>
        <w:t xml:space="preserve">liminate discrimination, harassment, victimisation and any other </w:t>
      </w:r>
      <w:r w:rsidR="00741AEB" w:rsidRPr="00440EBF">
        <w:rPr>
          <w:szCs w:val="24"/>
        </w:rPr>
        <w:t>conduct that is prohibited by or under this Act;</w:t>
      </w:r>
    </w:p>
    <w:p w14:paraId="026B174F" w14:textId="77777777" w:rsidR="00741AEB" w:rsidRPr="008D4ADA" w:rsidRDefault="00751215" w:rsidP="00720057">
      <w:pPr>
        <w:pStyle w:val="ListParagraph"/>
        <w:numPr>
          <w:ilvl w:val="0"/>
          <w:numId w:val="14"/>
        </w:numPr>
        <w:spacing w:after="120"/>
        <w:jc w:val="both"/>
        <w:rPr>
          <w:szCs w:val="24"/>
        </w:rPr>
      </w:pPr>
      <w:r w:rsidRPr="003728EE">
        <w:rPr>
          <w:szCs w:val="24"/>
        </w:rPr>
        <w:t>A</w:t>
      </w:r>
      <w:r w:rsidR="00741AEB" w:rsidRPr="008D4ADA">
        <w:rPr>
          <w:szCs w:val="24"/>
        </w:rPr>
        <w:t>dvance equality of opportunity between persons who share a relevant protected characteristic and persons who do not share it;</w:t>
      </w:r>
    </w:p>
    <w:p w14:paraId="6169D67D" w14:textId="77777777" w:rsidR="00741AEB" w:rsidRPr="009E22B0" w:rsidRDefault="0039329E" w:rsidP="00720057">
      <w:pPr>
        <w:pStyle w:val="ListParagraph"/>
        <w:numPr>
          <w:ilvl w:val="0"/>
          <w:numId w:val="14"/>
        </w:numPr>
        <w:spacing w:after="120"/>
        <w:jc w:val="both"/>
        <w:rPr>
          <w:szCs w:val="24"/>
        </w:rPr>
      </w:pPr>
      <w:r w:rsidRPr="009E22B0">
        <w:rPr>
          <w:szCs w:val="24"/>
        </w:rPr>
        <w:t>F</w:t>
      </w:r>
      <w:r w:rsidR="00741AEB" w:rsidRPr="009E22B0">
        <w:rPr>
          <w:szCs w:val="24"/>
        </w:rPr>
        <w:t>oster good relations between persons who share a relevant protected characteristic and persons who do not share it.</w:t>
      </w:r>
    </w:p>
    <w:p w14:paraId="34565A5F" w14:textId="77777777" w:rsidR="00741AEB" w:rsidRPr="00440EBF" w:rsidRDefault="0020754A" w:rsidP="00720057">
      <w:pPr>
        <w:pStyle w:val="ListParagraph"/>
        <w:numPr>
          <w:ilvl w:val="1"/>
          <w:numId w:val="11"/>
        </w:numPr>
        <w:spacing w:after="120"/>
        <w:jc w:val="both"/>
        <w:rPr>
          <w:szCs w:val="24"/>
        </w:rPr>
      </w:pPr>
      <w:r>
        <w:t xml:space="preserve">     </w:t>
      </w:r>
      <w:r w:rsidR="00741AEB" w:rsidRPr="00A969AA">
        <w:t>Having</w:t>
      </w:r>
      <w:r w:rsidR="00741AEB" w:rsidRPr="0039329E">
        <w:rPr>
          <w:szCs w:val="24"/>
        </w:rPr>
        <w:t xml:space="preserve"> due regard to the need to advance equality of opportunity </w:t>
      </w:r>
      <w:r>
        <w:rPr>
          <w:szCs w:val="24"/>
        </w:rPr>
        <w:tab/>
      </w:r>
      <w:r w:rsidR="00741AEB" w:rsidRPr="0039329E">
        <w:rPr>
          <w:szCs w:val="24"/>
        </w:rPr>
        <w:t xml:space="preserve">between persons who share a relevant protected characteristic and </w:t>
      </w:r>
      <w:r>
        <w:rPr>
          <w:szCs w:val="24"/>
        </w:rPr>
        <w:tab/>
      </w:r>
      <w:r w:rsidR="00741AEB" w:rsidRPr="0039329E">
        <w:rPr>
          <w:szCs w:val="24"/>
        </w:rPr>
        <w:t xml:space="preserve">persons who do not share it involves having due regard, in particular, </w:t>
      </w:r>
      <w:r>
        <w:rPr>
          <w:szCs w:val="24"/>
        </w:rPr>
        <w:tab/>
      </w:r>
      <w:r w:rsidR="00741AEB" w:rsidRPr="0039329E">
        <w:rPr>
          <w:szCs w:val="24"/>
        </w:rPr>
        <w:t>to the need to:</w:t>
      </w:r>
    </w:p>
    <w:p w14:paraId="6FD5BAA3" w14:textId="77777777" w:rsidR="00741AEB" w:rsidRPr="008D4ADA" w:rsidRDefault="00751215" w:rsidP="00720057">
      <w:pPr>
        <w:pStyle w:val="ListParagraph"/>
        <w:numPr>
          <w:ilvl w:val="0"/>
          <w:numId w:val="15"/>
        </w:numPr>
        <w:spacing w:after="120"/>
        <w:jc w:val="both"/>
        <w:rPr>
          <w:szCs w:val="24"/>
        </w:rPr>
      </w:pPr>
      <w:r w:rsidRPr="008D4ADA">
        <w:rPr>
          <w:szCs w:val="24"/>
        </w:rPr>
        <w:t>R</w:t>
      </w:r>
      <w:r w:rsidR="00741AEB" w:rsidRPr="008D4ADA">
        <w:rPr>
          <w:szCs w:val="24"/>
        </w:rPr>
        <w:t>emove or minimise disadvantages suffered by persons who share a relevant protected characteristic that are connected to that characteristic;</w:t>
      </w:r>
    </w:p>
    <w:p w14:paraId="7565EE08" w14:textId="77777777" w:rsidR="00741AEB" w:rsidRPr="006B1DE1" w:rsidRDefault="00741AEB" w:rsidP="00720057">
      <w:pPr>
        <w:spacing w:after="120"/>
        <w:ind w:left="720"/>
        <w:jc w:val="both"/>
        <w:rPr>
          <w:szCs w:val="24"/>
        </w:rPr>
      </w:pPr>
      <w:r w:rsidRPr="006B1DE1">
        <w:rPr>
          <w:szCs w:val="24"/>
        </w:rPr>
        <w:t xml:space="preserve">(b) </w:t>
      </w:r>
      <w:r w:rsidR="00751215">
        <w:rPr>
          <w:szCs w:val="24"/>
        </w:rPr>
        <w:t>T</w:t>
      </w:r>
      <w:r w:rsidRPr="006B1DE1">
        <w:rPr>
          <w:szCs w:val="24"/>
        </w:rPr>
        <w:t>ake steps to meet the needs of persons who share a relevant</w:t>
      </w:r>
      <w:r w:rsidR="00B16263">
        <w:rPr>
          <w:szCs w:val="24"/>
        </w:rPr>
        <w:t xml:space="preserve">         </w:t>
      </w:r>
      <w:r w:rsidRPr="006B1DE1">
        <w:rPr>
          <w:szCs w:val="24"/>
        </w:rPr>
        <w:t>protected characteristic that are different from the needs of persons who do not share it;</w:t>
      </w:r>
    </w:p>
    <w:p w14:paraId="62699B9F" w14:textId="77777777" w:rsidR="00741AEB" w:rsidRPr="006B1DE1" w:rsidRDefault="00741AEB">
      <w:pPr>
        <w:spacing w:after="240"/>
        <w:ind w:left="720"/>
        <w:jc w:val="both"/>
        <w:rPr>
          <w:szCs w:val="24"/>
        </w:rPr>
      </w:pPr>
      <w:r w:rsidRPr="006B1DE1">
        <w:rPr>
          <w:szCs w:val="24"/>
        </w:rPr>
        <w:t>(c)</w:t>
      </w:r>
      <w:r w:rsidR="0039329E">
        <w:rPr>
          <w:szCs w:val="24"/>
        </w:rPr>
        <w:t xml:space="preserve"> </w:t>
      </w:r>
      <w:r w:rsidRPr="006B1DE1">
        <w:rPr>
          <w:szCs w:val="24"/>
        </w:rPr>
        <w:t xml:space="preserve"> </w:t>
      </w:r>
      <w:r w:rsidR="00751215">
        <w:rPr>
          <w:szCs w:val="24"/>
        </w:rPr>
        <w:t>E</w:t>
      </w:r>
      <w:r w:rsidRPr="006B1DE1">
        <w:rPr>
          <w:szCs w:val="24"/>
        </w:rPr>
        <w:t>ncourage persons who share a relevant protected characteristic to participate in public life or in any other activity in which participation by such persons is disproportionately low.</w:t>
      </w:r>
    </w:p>
    <w:p w14:paraId="08840033" w14:textId="77777777" w:rsidR="00741AEB" w:rsidRPr="008B25B2" w:rsidRDefault="0020754A" w:rsidP="00D73C5B">
      <w:pPr>
        <w:spacing w:after="240"/>
        <w:ind w:left="709" w:hanging="709"/>
        <w:jc w:val="both"/>
        <w:rPr>
          <w:szCs w:val="24"/>
        </w:rPr>
      </w:pPr>
      <w:r>
        <w:t xml:space="preserve">5.4     </w:t>
      </w:r>
      <w:r w:rsidR="00741AEB" w:rsidRPr="00A969AA">
        <w:t>The</w:t>
      </w:r>
      <w:r w:rsidR="00741AEB" w:rsidRPr="0039329E">
        <w:rPr>
          <w:szCs w:val="24"/>
        </w:rPr>
        <w:t xml:space="preserve"> steps involved in mee</w:t>
      </w:r>
      <w:r w:rsidR="00741AEB" w:rsidRPr="00440EBF">
        <w:rPr>
          <w:szCs w:val="24"/>
        </w:rPr>
        <w:t>ting the needs of disabled persons that are</w:t>
      </w:r>
      <w:r>
        <w:rPr>
          <w:szCs w:val="24"/>
        </w:rPr>
        <w:t xml:space="preserve"> </w:t>
      </w:r>
      <w:r>
        <w:rPr>
          <w:szCs w:val="24"/>
        </w:rPr>
        <w:tab/>
      </w:r>
      <w:r w:rsidR="00741AEB" w:rsidRPr="00440EBF">
        <w:rPr>
          <w:szCs w:val="24"/>
        </w:rPr>
        <w:t>different from the needs of persons who are not disabled include, in</w:t>
      </w:r>
      <w:r>
        <w:rPr>
          <w:szCs w:val="24"/>
        </w:rPr>
        <w:t xml:space="preserve"> </w:t>
      </w:r>
      <w:r>
        <w:rPr>
          <w:szCs w:val="24"/>
        </w:rPr>
        <w:tab/>
      </w:r>
      <w:r w:rsidR="00741AEB" w:rsidRPr="00440EBF">
        <w:rPr>
          <w:szCs w:val="24"/>
        </w:rPr>
        <w:t>particular, steps to take account of disabled persons’ disabilities.</w:t>
      </w:r>
    </w:p>
    <w:p w14:paraId="4B086B69" w14:textId="7F064444" w:rsidR="00B0165A" w:rsidRPr="0039329E" w:rsidRDefault="0020754A" w:rsidP="00720057">
      <w:pPr>
        <w:pStyle w:val="ListParagraph"/>
        <w:numPr>
          <w:ilvl w:val="1"/>
          <w:numId w:val="12"/>
        </w:numPr>
        <w:tabs>
          <w:tab w:val="left" w:pos="709"/>
        </w:tabs>
        <w:spacing w:after="240"/>
        <w:ind w:left="567" w:hanging="567"/>
        <w:jc w:val="both"/>
        <w:rPr>
          <w:szCs w:val="24"/>
        </w:rPr>
      </w:pPr>
      <w:r>
        <w:t xml:space="preserve">  </w:t>
      </w:r>
      <w:r w:rsidR="00741AEB" w:rsidRPr="00A969AA">
        <w:t>Having</w:t>
      </w:r>
      <w:r w:rsidR="00741AEB" w:rsidRPr="0039329E">
        <w:rPr>
          <w:szCs w:val="24"/>
        </w:rPr>
        <w:t xml:space="preserve"> </w:t>
      </w:r>
      <w:r w:rsidR="00741AEB" w:rsidRPr="0031658B">
        <w:t>due</w:t>
      </w:r>
      <w:r w:rsidR="00741AEB" w:rsidRPr="0039329E">
        <w:rPr>
          <w:szCs w:val="24"/>
        </w:rPr>
        <w:t xml:space="preserve"> regard to the need to foster good relations between </w:t>
      </w:r>
      <w:r>
        <w:rPr>
          <w:szCs w:val="24"/>
        </w:rPr>
        <w:tab/>
      </w:r>
      <w:r w:rsidR="00741AEB" w:rsidRPr="0039329E">
        <w:rPr>
          <w:szCs w:val="24"/>
        </w:rPr>
        <w:t xml:space="preserve">persons who share a relevant protected characteristic and persons </w:t>
      </w:r>
      <w:r>
        <w:rPr>
          <w:szCs w:val="24"/>
        </w:rPr>
        <w:lastRenderedPageBreak/>
        <w:tab/>
      </w:r>
      <w:r w:rsidR="00741AEB" w:rsidRPr="0039329E">
        <w:rPr>
          <w:szCs w:val="24"/>
        </w:rPr>
        <w:t xml:space="preserve">who do not share it involves having due regard, in particular, to the </w:t>
      </w:r>
      <w:r>
        <w:rPr>
          <w:szCs w:val="24"/>
        </w:rPr>
        <w:tab/>
      </w:r>
      <w:r w:rsidR="00741AEB" w:rsidRPr="0039329E">
        <w:rPr>
          <w:szCs w:val="24"/>
        </w:rPr>
        <w:t>need to:</w:t>
      </w:r>
    </w:p>
    <w:p w14:paraId="1D0D6E8B" w14:textId="77777777" w:rsidR="00741AEB" w:rsidRPr="008B25B2" w:rsidRDefault="00B0165A" w:rsidP="009E22B0">
      <w:pPr>
        <w:spacing w:after="240"/>
        <w:rPr>
          <w:szCs w:val="24"/>
        </w:rPr>
      </w:pPr>
      <w:r>
        <w:rPr>
          <w:szCs w:val="24"/>
        </w:rPr>
        <w:t xml:space="preserve">           </w:t>
      </w:r>
      <w:r w:rsidRPr="0039329E">
        <w:rPr>
          <w:szCs w:val="24"/>
        </w:rPr>
        <w:t xml:space="preserve">a)  </w:t>
      </w:r>
      <w:r w:rsidR="00741AEB" w:rsidRPr="00440EBF">
        <w:rPr>
          <w:szCs w:val="24"/>
        </w:rPr>
        <w:t>Tackle prejudice, and</w:t>
      </w:r>
    </w:p>
    <w:p w14:paraId="27568458" w14:textId="77777777" w:rsidR="00741AEB" w:rsidRPr="008D4ADA" w:rsidRDefault="00741AEB" w:rsidP="00173DA5">
      <w:pPr>
        <w:pStyle w:val="ListParagraph"/>
        <w:numPr>
          <w:ilvl w:val="0"/>
          <w:numId w:val="13"/>
        </w:numPr>
        <w:spacing w:after="240"/>
        <w:jc w:val="both"/>
        <w:rPr>
          <w:szCs w:val="24"/>
        </w:rPr>
      </w:pPr>
      <w:r w:rsidRPr="003728EE">
        <w:rPr>
          <w:szCs w:val="24"/>
        </w:rPr>
        <w:t>Promote understanding.</w:t>
      </w:r>
    </w:p>
    <w:p w14:paraId="3D1FE023" w14:textId="72E20D7A" w:rsidR="00741AEB" w:rsidRPr="00440EBF" w:rsidRDefault="00741AEB" w:rsidP="00D73C5B">
      <w:pPr>
        <w:pStyle w:val="ListParagraph"/>
        <w:numPr>
          <w:ilvl w:val="1"/>
          <w:numId w:val="12"/>
        </w:numPr>
        <w:spacing w:after="240"/>
        <w:ind w:left="709" w:hanging="709"/>
        <w:jc w:val="both"/>
        <w:rPr>
          <w:szCs w:val="24"/>
        </w:rPr>
      </w:pPr>
      <w:r w:rsidRPr="00A969AA">
        <w:t>Compliance</w:t>
      </w:r>
      <w:r w:rsidRPr="0039329E">
        <w:rPr>
          <w:szCs w:val="24"/>
        </w:rPr>
        <w:t xml:space="preserve"> with the duties in this section </w:t>
      </w:r>
      <w:r w:rsidRPr="00440EBF">
        <w:rPr>
          <w:szCs w:val="24"/>
        </w:rPr>
        <w:t xml:space="preserve">may involve treating some </w:t>
      </w:r>
      <w:r w:rsidR="0020754A">
        <w:rPr>
          <w:szCs w:val="24"/>
        </w:rPr>
        <w:tab/>
      </w:r>
      <w:r w:rsidRPr="0039329E">
        <w:rPr>
          <w:szCs w:val="24"/>
        </w:rPr>
        <w:t xml:space="preserve">persons more favourably than others; but that is not to be taken as </w:t>
      </w:r>
      <w:r w:rsidR="0020754A">
        <w:rPr>
          <w:szCs w:val="24"/>
        </w:rPr>
        <w:tab/>
      </w:r>
      <w:r w:rsidRPr="0039329E">
        <w:rPr>
          <w:szCs w:val="24"/>
        </w:rPr>
        <w:t xml:space="preserve">permitting conduct that would otherwise be prohibited by or under this </w:t>
      </w:r>
      <w:r w:rsidR="0020754A">
        <w:rPr>
          <w:szCs w:val="24"/>
        </w:rPr>
        <w:tab/>
      </w:r>
      <w:r w:rsidRPr="0039329E">
        <w:rPr>
          <w:szCs w:val="24"/>
        </w:rPr>
        <w:t>Act. The relevant protected characteristics are:</w:t>
      </w:r>
    </w:p>
    <w:p w14:paraId="0AE67316" w14:textId="77777777" w:rsidR="00741AEB" w:rsidRPr="006B1DE1" w:rsidRDefault="00741AEB" w:rsidP="00173DA5">
      <w:pPr>
        <w:pStyle w:val="ListParagraph"/>
        <w:numPr>
          <w:ilvl w:val="0"/>
          <w:numId w:val="2"/>
        </w:numPr>
        <w:spacing w:after="240"/>
        <w:jc w:val="both"/>
        <w:rPr>
          <w:szCs w:val="24"/>
        </w:rPr>
      </w:pPr>
      <w:r w:rsidRPr="006B1DE1">
        <w:rPr>
          <w:szCs w:val="24"/>
        </w:rPr>
        <w:t>Age</w:t>
      </w:r>
    </w:p>
    <w:p w14:paraId="45D9DAB3" w14:textId="77777777" w:rsidR="00741AEB" w:rsidRPr="006B1DE1" w:rsidRDefault="00741AEB" w:rsidP="00173DA5">
      <w:pPr>
        <w:pStyle w:val="ListParagraph"/>
        <w:numPr>
          <w:ilvl w:val="0"/>
          <w:numId w:val="2"/>
        </w:numPr>
        <w:spacing w:after="240"/>
        <w:jc w:val="both"/>
        <w:rPr>
          <w:szCs w:val="24"/>
        </w:rPr>
      </w:pPr>
      <w:r w:rsidRPr="006B1DE1">
        <w:rPr>
          <w:szCs w:val="24"/>
        </w:rPr>
        <w:t>Disability</w:t>
      </w:r>
    </w:p>
    <w:p w14:paraId="51A7D859" w14:textId="77777777" w:rsidR="00741AEB" w:rsidRPr="006B1DE1" w:rsidRDefault="00741AEB" w:rsidP="00173DA5">
      <w:pPr>
        <w:pStyle w:val="ListParagraph"/>
        <w:numPr>
          <w:ilvl w:val="0"/>
          <w:numId w:val="2"/>
        </w:numPr>
        <w:spacing w:after="240"/>
        <w:jc w:val="both"/>
        <w:rPr>
          <w:szCs w:val="24"/>
        </w:rPr>
      </w:pPr>
      <w:r w:rsidRPr="006B1DE1">
        <w:rPr>
          <w:szCs w:val="24"/>
        </w:rPr>
        <w:t>Gender reassignment</w:t>
      </w:r>
    </w:p>
    <w:p w14:paraId="2F23A793" w14:textId="77777777" w:rsidR="00741AEB" w:rsidRPr="006B1DE1" w:rsidRDefault="00741AEB" w:rsidP="00173DA5">
      <w:pPr>
        <w:pStyle w:val="ListParagraph"/>
        <w:numPr>
          <w:ilvl w:val="0"/>
          <w:numId w:val="2"/>
        </w:numPr>
        <w:spacing w:after="240"/>
        <w:jc w:val="both"/>
        <w:rPr>
          <w:szCs w:val="24"/>
        </w:rPr>
      </w:pPr>
      <w:r w:rsidRPr="006B1DE1">
        <w:rPr>
          <w:szCs w:val="24"/>
        </w:rPr>
        <w:t>Pregnancy and maternity</w:t>
      </w:r>
    </w:p>
    <w:p w14:paraId="05E072B2" w14:textId="77777777" w:rsidR="00741AEB" w:rsidRPr="006B1DE1" w:rsidRDefault="00741AEB" w:rsidP="00173DA5">
      <w:pPr>
        <w:pStyle w:val="ListParagraph"/>
        <w:numPr>
          <w:ilvl w:val="0"/>
          <w:numId w:val="2"/>
        </w:numPr>
        <w:spacing w:after="240"/>
        <w:jc w:val="both"/>
        <w:rPr>
          <w:szCs w:val="24"/>
        </w:rPr>
      </w:pPr>
      <w:r w:rsidRPr="006B1DE1">
        <w:rPr>
          <w:szCs w:val="24"/>
        </w:rPr>
        <w:t>Race,</w:t>
      </w:r>
    </w:p>
    <w:p w14:paraId="0E9CC44C" w14:textId="77777777" w:rsidR="00741AEB" w:rsidRPr="006B1DE1" w:rsidRDefault="00741AEB" w:rsidP="00173DA5">
      <w:pPr>
        <w:pStyle w:val="ListParagraph"/>
        <w:numPr>
          <w:ilvl w:val="0"/>
          <w:numId w:val="2"/>
        </w:numPr>
        <w:spacing w:after="240"/>
        <w:jc w:val="both"/>
        <w:rPr>
          <w:szCs w:val="24"/>
        </w:rPr>
      </w:pPr>
      <w:r w:rsidRPr="006B1DE1">
        <w:rPr>
          <w:szCs w:val="24"/>
        </w:rPr>
        <w:t>Religion or belief</w:t>
      </w:r>
    </w:p>
    <w:p w14:paraId="2F2362D7" w14:textId="77777777" w:rsidR="00741AEB" w:rsidRPr="006B1DE1" w:rsidRDefault="00741AEB" w:rsidP="00173DA5">
      <w:pPr>
        <w:pStyle w:val="ListParagraph"/>
        <w:numPr>
          <w:ilvl w:val="0"/>
          <w:numId w:val="2"/>
        </w:numPr>
        <w:spacing w:after="240"/>
        <w:jc w:val="both"/>
        <w:rPr>
          <w:szCs w:val="24"/>
        </w:rPr>
      </w:pPr>
      <w:r w:rsidRPr="006B1DE1">
        <w:rPr>
          <w:szCs w:val="24"/>
        </w:rPr>
        <w:t>Sex</w:t>
      </w:r>
    </w:p>
    <w:p w14:paraId="7B9393AA" w14:textId="77777777" w:rsidR="00741AEB" w:rsidRPr="006B1DE1" w:rsidRDefault="00741AEB" w:rsidP="00173DA5">
      <w:pPr>
        <w:pStyle w:val="ListParagraph"/>
        <w:numPr>
          <w:ilvl w:val="0"/>
          <w:numId w:val="2"/>
        </w:numPr>
        <w:spacing w:after="240"/>
        <w:jc w:val="both"/>
        <w:rPr>
          <w:szCs w:val="24"/>
        </w:rPr>
      </w:pPr>
      <w:r w:rsidRPr="006B1DE1">
        <w:rPr>
          <w:szCs w:val="24"/>
        </w:rPr>
        <w:t>Sexual orientation</w:t>
      </w:r>
    </w:p>
    <w:p w14:paraId="6794DE7C" w14:textId="77777777" w:rsidR="00741AEB" w:rsidRDefault="00741AEB" w:rsidP="00173DA5">
      <w:pPr>
        <w:pStyle w:val="ListParagraph"/>
        <w:numPr>
          <w:ilvl w:val="0"/>
          <w:numId w:val="2"/>
        </w:numPr>
        <w:spacing w:after="240"/>
        <w:jc w:val="both"/>
        <w:rPr>
          <w:szCs w:val="24"/>
        </w:rPr>
      </w:pPr>
      <w:r w:rsidRPr="006B1DE1">
        <w:rPr>
          <w:szCs w:val="24"/>
        </w:rPr>
        <w:t xml:space="preserve">Marriage and Civil partnership       </w:t>
      </w:r>
    </w:p>
    <w:p w14:paraId="5528334E" w14:textId="5915079E" w:rsidR="005E0EC3" w:rsidRPr="00BD22E6" w:rsidRDefault="00720057" w:rsidP="00720057">
      <w:pPr>
        <w:pStyle w:val="ListParagraph"/>
        <w:numPr>
          <w:ilvl w:val="1"/>
          <w:numId w:val="12"/>
        </w:numPr>
        <w:spacing w:after="240"/>
        <w:ind w:left="426" w:hanging="568"/>
        <w:jc w:val="both"/>
        <w:rPr>
          <w:rFonts w:cs="Arial"/>
          <w:szCs w:val="24"/>
        </w:rPr>
      </w:pPr>
      <w:r>
        <w:t xml:space="preserve">  </w:t>
      </w:r>
      <w:r w:rsidR="00B0165A">
        <w:t xml:space="preserve"> </w:t>
      </w:r>
      <w:r w:rsidR="00AD73E5" w:rsidRPr="006B1DE1">
        <w:t xml:space="preserve">A full equalities impact assessment was completed on the 2015/16 </w:t>
      </w:r>
      <w:r w:rsidR="00B0165A">
        <w:tab/>
      </w:r>
      <w:r w:rsidR="00AD73E5" w:rsidRPr="006B1DE1">
        <w:t xml:space="preserve">budget when the budget was set by Full Council. Equalities </w:t>
      </w:r>
      <w:r w:rsidR="00B0165A">
        <w:tab/>
      </w:r>
      <w:r w:rsidR="00AD73E5" w:rsidRPr="006B1DE1">
        <w:t xml:space="preserve">implications are taken into account by individual directorates whilst </w:t>
      </w:r>
      <w:r w:rsidR="00BD22E6">
        <w:tab/>
      </w:r>
      <w:r w:rsidR="00AD73E5" w:rsidRPr="006B1DE1">
        <w:t xml:space="preserve">running services and making decisions to vire money. A full equality </w:t>
      </w:r>
      <w:r w:rsidR="00BD22E6">
        <w:tab/>
      </w:r>
      <w:r w:rsidR="00AD73E5" w:rsidRPr="006B1DE1">
        <w:t>impact assessment will be completed on the budget for 2016/17</w:t>
      </w:r>
    </w:p>
    <w:p w14:paraId="024525A2" w14:textId="77777777" w:rsidR="00BD22E6" w:rsidRDefault="00BD22E6" w:rsidP="00FC2412">
      <w:pPr>
        <w:pStyle w:val="Heading2"/>
        <w:jc w:val="both"/>
      </w:pPr>
    </w:p>
    <w:p w14:paraId="31C179B7" w14:textId="77777777" w:rsidR="00741AEB" w:rsidRDefault="009E5B1B" w:rsidP="00835EA0">
      <w:pPr>
        <w:pStyle w:val="Heading2"/>
      </w:pPr>
      <w:r>
        <w:t xml:space="preserve">6. </w:t>
      </w:r>
      <w:r w:rsidR="00AA383D">
        <w:t xml:space="preserve"> </w:t>
      </w:r>
      <w:r w:rsidR="00741AEB" w:rsidRPr="006B1DE1">
        <w:t>Financial Implications</w:t>
      </w:r>
    </w:p>
    <w:p w14:paraId="66672E5B" w14:textId="77777777" w:rsidR="00BD22E6" w:rsidRPr="0039329E" w:rsidRDefault="00BD22E6" w:rsidP="009E22B0"/>
    <w:p w14:paraId="1F6A57D7" w14:textId="7CD4B5D1" w:rsidR="00741AEB" w:rsidRPr="006B1DE1" w:rsidRDefault="00374CD9" w:rsidP="009E22B0">
      <w:pPr>
        <w:spacing w:after="240"/>
        <w:ind w:left="360"/>
      </w:pPr>
      <w:r w:rsidRPr="001C46E8">
        <w:t>F</w:t>
      </w:r>
      <w:r w:rsidR="00741AEB" w:rsidRPr="001C46E8">
        <w:t>inancial matters are integral to the report.</w:t>
      </w:r>
    </w:p>
    <w:p w14:paraId="4DB89378" w14:textId="77777777" w:rsidR="00741AEB" w:rsidRDefault="009E5B1B" w:rsidP="009E5B1B">
      <w:pPr>
        <w:pStyle w:val="Heading2"/>
      </w:pPr>
      <w:r>
        <w:t xml:space="preserve">7. </w:t>
      </w:r>
      <w:r w:rsidR="00AA383D">
        <w:t xml:space="preserve"> </w:t>
      </w:r>
      <w:r w:rsidR="00741AEB" w:rsidRPr="006B1DE1">
        <w:t>Performance Issues</w:t>
      </w:r>
    </w:p>
    <w:p w14:paraId="3CFE3D8F" w14:textId="77777777" w:rsidR="00BD22E6" w:rsidRPr="0039329E" w:rsidRDefault="00BD22E6" w:rsidP="009E22B0"/>
    <w:p w14:paraId="008C5E0F" w14:textId="77777777" w:rsidR="0021777C" w:rsidRDefault="0021777C" w:rsidP="00FC2412">
      <w:pPr>
        <w:ind w:left="360"/>
        <w:jc w:val="both"/>
      </w:pPr>
      <w:r w:rsidRPr="0021777C">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14:paraId="24012763" w14:textId="77777777" w:rsidR="0021777C" w:rsidRPr="0021777C" w:rsidRDefault="0021777C" w:rsidP="00FC2412">
      <w:pPr>
        <w:ind w:left="360"/>
        <w:jc w:val="both"/>
      </w:pPr>
    </w:p>
    <w:p w14:paraId="5B50D4CF" w14:textId="72CFA569" w:rsidR="005E4706" w:rsidRDefault="0021777C" w:rsidP="00FC2412">
      <w:pPr>
        <w:ind w:left="360"/>
        <w:jc w:val="both"/>
      </w:pPr>
      <w:r w:rsidRPr="0021777C">
        <w:t xml:space="preserve">The overall </w:t>
      </w:r>
      <w:r w:rsidR="000119C0">
        <w:t xml:space="preserve">net </w:t>
      </w:r>
      <w:r w:rsidRPr="0021777C">
        <w:t>projected variance</w:t>
      </w:r>
      <w:r w:rsidR="000119C0">
        <w:t xml:space="preserve"> of £3.849m</w:t>
      </w:r>
      <w:r w:rsidRPr="0021777C">
        <w:t xml:space="preserve"> from the revenue budget</w:t>
      </w:r>
      <w:r w:rsidR="000119C0">
        <w:t xml:space="preserve"> of £164.9m </w:t>
      </w:r>
      <w:r w:rsidRPr="0021777C">
        <w:t>is currently fo</w:t>
      </w:r>
      <w:r w:rsidR="000119C0">
        <w:t>recast to be an overspend of 2.3</w:t>
      </w:r>
      <w:r w:rsidRPr="0021777C">
        <w:t xml:space="preserve">%. </w:t>
      </w:r>
    </w:p>
    <w:p w14:paraId="4700F85B" w14:textId="77777777" w:rsidR="005E4706" w:rsidRDefault="005E4706" w:rsidP="00FC2412">
      <w:pPr>
        <w:pStyle w:val="ListParagraph"/>
        <w:jc w:val="both"/>
      </w:pPr>
    </w:p>
    <w:p w14:paraId="0B44938D" w14:textId="7E94447F" w:rsidR="0021777C" w:rsidRDefault="00560CCD" w:rsidP="00FC2412">
      <w:pPr>
        <w:ind w:left="360"/>
        <w:jc w:val="both"/>
      </w:pPr>
      <w:r>
        <w:t>For the 20</w:t>
      </w:r>
      <w:r w:rsidR="0021777C" w:rsidRPr="0021777C">
        <w:t>16</w:t>
      </w:r>
      <w:r>
        <w:t>/17</w:t>
      </w:r>
      <w:r w:rsidR="0021777C" w:rsidRPr="0021777C">
        <w:t xml:space="preserve"> savings built into the MTFS,</w:t>
      </w:r>
      <w:r w:rsidR="005E4706">
        <w:t xml:space="preserve"> the overall position is that 3</w:t>
      </w:r>
      <w:r w:rsidR="00C71B6A">
        <w:t>6</w:t>
      </w:r>
      <w:r w:rsidR="0021777C" w:rsidRPr="0021777C">
        <w:t>% of the savings are RAG rated as blue (achieved and</w:t>
      </w:r>
      <w:r w:rsidR="005E4706">
        <w:t xml:space="preserve"> banked),  1</w:t>
      </w:r>
      <w:r w:rsidR="00F277FB">
        <w:t>8</w:t>
      </w:r>
      <w:r w:rsidR="0021777C" w:rsidRPr="0021777C">
        <w:t>% green (ach</w:t>
      </w:r>
      <w:r w:rsidR="00F277FB">
        <w:t>ievement of saving on track), 38</w:t>
      </w:r>
      <w:r w:rsidR="0021777C" w:rsidRPr="0021777C">
        <w:t>% amber (saving only partially ach</w:t>
      </w:r>
      <w:r w:rsidR="00F277FB">
        <w:t>ieved or risks remaining)  and 8</w:t>
      </w:r>
      <w:r w:rsidR="0021777C" w:rsidRPr="0021777C">
        <w:t>% red (agreed saving not achievable).</w:t>
      </w:r>
    </w:p>
    <w:p w14:paraId="60DD4F8D" w14:textId="77777777" w:rsidR="005E4706" w:rsidRDefault="005E4706" w:rsidP="00FC2412">
      <w:pPr>
        <w:jc w:val="both"/>
      </w:pPr>
    </w:p>
    <w:p w14:paraId="2541D16E" w14:textId="31109F05" w:rsidR="00B16263" w:rsidRDefault="0021777C" w:rsidP="00FC2412">
      <w:pPr>
        <w:ind w:firstLine="360"/>
        <w:jc w:val="both"/>
      </w:pPr>
      <w:r w:rsidRPr="003C2EB7">
        <w:t>Council Tax Collection: The collec</w:t>
      </w:r>
      <w:r w:rsidR="00C541A8">
        <w:t>tion rate for Quarter 2 is 56.77</w:t>
      </w:r>
      <w:r w:rsidRPr="003C2EB7">
        <w:t>% a</w:t>
      </w:r>
      <w:r w:rsidR="003C2EB7" w:rsidRPr="008A73C4">
        <w:t xml:space="preserve">gainst </w:t>
      </w:r>
    </w:p>
    <w:p w14:paraId="690C3071" w14:textId="1D6E7BBE" w:rsidR="0021777C" w:rsidRPr="008A73C4" w:rsidRDefault="003C2EB7" w:rsidP="00FC2412">
      <w:pPr>
        <w:ind w:firstLine="360"/>
        <w:jc w:val="both"/>
      </w:pPr>
      <w:r w:rsidRPr="008A73C4">
        <w:t>a prof</w:t>
      </w:r>
      <w:r w:rsidR="00C541A8">
        <w:t>ile target of 57</w:t>
      </w:r>
      <w:r w:rsidR="0021777C" w:rsidRPr="003C2EB7">
        <w:t>%</w:t>
      </w:r>
    </w:p>
    <w:p w14:paraId="13AB43D5" w14:textId="77777777" w:rsidR="005E4706" w:rsidRPr="008A73C4" w:rsidRDefault="005E4706" w:rsidP="00FC2412">
      <w:pPr>
        <w:jc w:val="both"/>
        <w:rPr>
          <w:highlight w:val="yellow"/>
        </w:rPr>
      </w:pPr>
    </w:p>
    <w:p w14:paraId="2C56019F" w14:textId="66CC651C" w:rsidR="0021777C" w:rsidRPr="003C2EB7" w:rsidRDefault="0021777C" w:rsidP="00FC2412">
      <w:pPr>
        <w:ind w:left="360"/>
        <w:jc w:val="both"/>
        <w:rPr>
          <w:b/>
        </w:rPr>
      </w:pPr>
      <w:r w:rsidRPr="003C2EB7">
        <w:t>Business Rates Collection: The collection rate for Quarter</w:t>
      </w:r>
      <w:r w:rsidR="00C541A8">
        <w:t xml:space="preserve"> 2 is a collection rate of 56.48</w:t>
      </w:r>
      <w:r w:rsidRPr="003C2EB7">
        <w:t>% a</w:t>
      </w:r>
      <w:r w:rsidR="00C541A8">
        <w:t>gainst a profile target of 58.5</w:t>
      </w:r>
      <w:r w:rsidRPr="003C2EB7">
        <w:t xml:space="preserve">%. </w:t>
      </w:r>
    </w:p>
    <w:p w14:paraId="7A88EFEC" w14:textId="77777777" w:rsidR="0021777C" w:rsidRPr="003C2EB7" w:rsidRDefault="0021777C" w:rsidP="00FC2412">
      <w:pPr>
        <w:jc w:val="both"/>
      </w:pPr>
    </w:p>
    <w:p w14:paraId="00C13CC7" w14:textId="77777777" w:rsidR="009464CF" w:rsidRPr="006B1DE1" w:rsidRDefault="009464CF" w:rsidP="00741AEB"/>
    <w:p w14:paraId="10454A81" w14:textId="21A27627" w:rsidR="00741AEB" w:rsidRPr="006B1DE1" w:rsidRDefault="009E708C" w:rsidP="00741AEB">
      <w:pPr>
        <w:rPr>
          <w:b/>
          <w:sz w:val="28"/>
          <w:szCs w:val="28"/>
        </w:rPr>
      </w:pPr>
      <w:r>
        <w:rPr>
          <w:b/>
          <w:sz w:val="28"/>
          <w:szCs w:val="28"/>
        </w:rPr>
        <w:t>8</w:t>
      </w:r>
      <w:r w:rsidR="00D73C5B">
        <w:rPr>
          <w:b/>
          <w:sz w:val="28"/>
          <w:szCs w:val="28"/>
        </w:rPr>
        <w:t>.</w:t>
      </w:r>
      <w:r w:rsidR="00AA383D">
        <w:rPr>
          <w:b/>
          <w:sz w:val="28"/>
          <w:szCs w:val="28"/>
        </w:rPr>
        <w:t xml:space="preserve"> </w:t>
      </w:r>
      <w:r w:rsidR="00741AEB" w:rsidRPr="006B1DE1">
        <w:rPr>
          <w:b/>
          <w:sz w:val="28"/>
          <w:szCs w:val="28"/>
        </w:rPr>
        <w:t>Risk Management Implications</w:t>
      </w:r>
    </w:p>
    <w:p w14:paraId="4D47F0C9" w14:textId="77777777" w:rsidR="00741AEB" w:rsidRDefault="00741AEB" w:rsidP="009E22B0">
      <w:pPr>
        <w:spacing w:after="240"/>
        <w:ind w:left="360"/>
      </w:pPr>
      <w:r w:rsidRPr="00374CD9">
        <w:t>The risks to the Council and how they are being managed are set out in the report.</w:t>
      </w:r>
    </w:p>
    <w:p w14:paraId="5BED1DA8" w14:textId="77777777" w:rsidR="005378F7" w:rsidRDefault="005378F7" w:rsidP="009E22B0">
      <w:pPr>
        <w:spacing w:after="240"/>
        <w:ind w:left="360"/>
      </w:pPr>
      <w:r w:rsidRPr="005378F7">
        <w:t>Risks are included on the Directorate risk registers</w:t>
      </w:r>
    </w:p>
    <w:p w14:paraId="329794F7" w14:textId="77777777" w:rsidR="009464CF" w:rsidRDefault="009464CF" w:rsidP="005378F7">
      <w:pPr>
        <w:keepNext/>
        <w:ind w:left="360" w:hanging="360"/>
        <w:jc w:val="both"/>
        <w:rPr>
          <w:b/>
          <w:sz w:val="28"/>
          <w:szCs w:val="28"/>
        </w:rPr>
      </w:pPr>
    </w:p>
    <w:p w14:paraId="7C3AA6E3" w14:textId="624DAD5F" w:rsidR="005378F7" w:rsidRPr="006B1DE1" w:rsidRDefault="009E708C" w:rsidP="00D73C5B">
      <w:pPr>
        <w:keepNext/>
        <w:jc w:val="both"/>
        <w:rPr>
          <w:b/>
          <w:sz w:val="28"/>
          <w:szCs w:val="28"/>
        </w:rPr>
      </w:pPr>
      <w:r>
        <w:rPr>
          <w:b/>
          <w:sz w:val="28"/>
          <w:szCs w:val="28"/>
        </w:rPr>
        <w:t>9</w:t>
      </w:r>
      <w:r w:rsidR="00AA383D">
        <w:rPr>
          <w:b/>
          <w:sz w:val="28"/>
          <w:szCs w:val="28"/>
        </w:rPr>
        <w:t xml:space="preserve">. </w:t>
      </w:r>
      <w:r w:rsidR="005378F7" w:rsidRPr="006B1DE1">
        <w:rPr>
          <w:b/>
          <w:sz w:val="28"/>
          <w:szCs w:val="28"/>
        </w:rPr>
        <w:t>Equalities implications / Public Sector Equality Duty</w:t>
      </w:r>
    </w:p>
    <w:p w14:paraId="4408998B" w14:textId="77777777" w:rsidR="00D73C5B" w:rsidRDefault="00D73C5B" w:rsidP="00FC2412">
      <w:pPr>
        <w:spacing w:after="240"/>
        <w:ind w:left="360"/>
        <w:jc w:val="both"/>
      </w:pPr>
    </w:p>
    <w:p w14:paraId="71214687" w14:textId="77777777" w:rsidR="005378F7" w:rsidRPr="00374CD9" w:rsidRDefault="005378F7" w:rsidP="00FC2412">
      <w:pPr>
        <w:spacing w:after="240"/>
        <w:ind w:left="360"/>
        <w:jc w:val="both"/>
      </w:pPr>
      <w:r w:rsidRPr="005378F7">
        <w:t>A full equalities impact asses</w:t>
      </w:r>
      <w:r>
        <w:t>sment was completed on the 20</w:t>
      </w:r>
      <w:r w:rsidRPr="005378F7">
        <w:t>16</w:t>
      </w:r>
      <w:r>
        <w:t>/17</w:t>
      </w:r>
      <w:r w:rsidRPr="005378F7">
        <w:t xml:space="preserve"> budget when the budget was set by Full Council. Equalities implications are taken into account by individual directorates whilst running services and making decisions to vire money. A full equality impact assessment will be c</w:t>
      </w:r>
      <w:r>
        <w:t>ompleted on the budget for 20</w:t>
      </w:r>
      <w:r w:rsidRPr="005378F7">
        <w:t>17</w:t>
      </w:r>
      <w:r>
        <w:t>/18.</w:t>
      </w:r>
    </w:p>
    <w:p w14:paraId="7F0F91CA" w14:textId="144CDCF9" w:rsidR="00741AEB" w:rsidRPr="006B1DE1" w:rsidRDefault="00AA383D" w:rsidP="00D73C5B">
      <w:pPr>
        <w:pStyle w:val="ListParagraph"/>
        <w:keepNext/>
        <w:spacing w:after="240"/>
        <w:ind w:left="0"/>
        <w:rPr>
          <w:b/>
          <w:sz w:val="28"/>
          <w:szCs w:val="28"/>
        </w:rPr>
      </w:pPr>
      <w:r>
        <w:rPr>
          <w:b/>
          <w:sz w:val="28"/>
          <w:szCs w:val="28"/>
        </w:rPr>
        <w:t>1</w:t>
      </w:r>
      <w:r w:rsidR="009E708C">
        <w:rPr>
          <w:b/>
          <w:sz w:val="28"/>
          <w:szCs w:val="28"/>
        </w:rPr>
        <w:t>0</w:t>
      </w:r>
      <w:r>
        <w:rPr>
          <w:b/>
          <w:sz w:val="28"/>
          <w:szCs w:val="28"/>
        </w:rPr>
        <w:t xml:space="preserve">. </w:t>
      </w:r>
      <w:r w:rsidR="00741AEB" w:rsidRPr="006B1DE1">
        <w:rPr>
          <w:b/>
          <w:sz w:val="28"/>
          <w:szCs w:val="28"/>
        </w:rPr>
        <w:t>Council Priorities</w:t>
      </w:r>
    </w:p>
    <w:p w14:paraId="1358F9DB" w14:textId="77777777" w:rsidR="00741AEB" w:rsidRPr="006B1DE1" w:rsidRDefault="00741AEB" w:rsidP="009E22B0">
      <w:pPr>
        <w:spacing w:after="240"/>
        <w:ind w:left="360"/>
        <w:rPr>
          <w:b/>
          <w:sz w:val="28"/>
          <w:szCs w:val="28"/>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14:paraId="5776099E" w14:textId="77777777" w:rsidR="00741AEB" w:rsidRPr="006B1DE1" w:rsidRDefault="00741AEB" w:rsidP="00741AEB">
      <w:pPr>
        <w:rPr>
          <w:rFonts w:cs="Arial"/>
          <w:szCs w:val="24"/>
        </w:rPr>
      </w:pPr>
    </w:p>
    <w:p w14:paraId="665BE20A" w14:textId="77777777"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14:paraId="6DFB8C32" w14:textId="77777777" w:rsidR="00741AEB" w:rsidRPr="006B1DE1" w:rsidRDefault="00741AEB" w:rsidP="00741AEB">
      <w:pPr>
        <w:rPr>
          <w:rFonts w:cs="Arial"/>
          <w:szCs w:val="24"/>
        </w:rPr>
      </w:pPr>
    </w:p>
    <w:p w14:paraId="663E4FF3" w14:textId="77777777" w:rsidR="00741AEB" w:rsidRPr="006B1DE1" w:rsidRDefault="00741AEB" w:rsidP="009E22B0">
      <w:pPr>
        <w:spacing w:after="240"/>
        <w:ind w:left="360"/>
        <w:rPr>
          <w:rFonts w:cs="Arial"/>
          <w:szCs w:val="24"/>
        </w:rPr>
      </w:pPr>
      <w:r w:rsidRPr="006B1DE1">
        <w:rPr>
          <w:rFonts w:cs="Arial"/>
          <w:szCs w:val="24"/>
        </w:rPr>
        <w:t xml:space="preserve">The </w:t>
      </w:r>
      <w:r w:rsidRPr="0031658B">
        <w:rPr>
          <w:rFonts w:cs="Arial"/>
          <w:szCs w:val="24"/>
        </w:rPr>
        <w:t>Council’s</w:t>
      </w:r>
      <w:r w:rsidRPr="006B1DE1">
        <w:rPr>
          <w:rFonts w:cs="Arial"/>
          <w:szCs w:val="24"/>
        </w:rPr>
        <w:t xml:space="preserve"> priorities are:</w:t>
      </w:r>
    </w:p>
    <w:p w14:paraId="7F8E0BCB" w14:textId="77777777" w:rsidR="00741AEB" w:rsidRPr="006B1DE1" w:rsidRDefault="00741AEB" w:rsidP="00741AEB">
      <w:pPr>
        <w:jc w:val="both"/>
      </w:pPr>
    </w:p>
    <w:p w14:paraId="076767E1" w14:textId="77777777"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14:paraId="2508E341"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14:paraId="6102F726"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14:paraId="49D05208" w14:textId="77777777"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14:paraId="57E7E5F4" w14:textId="77777777" w:rsidR="00741AEB" w:rsidRPr="006B1DE1" w:rsidRDefault="00741AEB" w:rsidP="009E22B0">
      <w:pPr>
        <w:spacing w:after="240"/>
        <w:ind w:left="360"/>
      </w:pPr>
      <w:r w:rsidRPr="006B1DE1">
        <w:t xml:space="preserve">This </w:t>
      </w:r>
      <w:r w:rsidRPr="0031658B">
        <w:rPr>
          <w:rFonts w:cs="Arial"/>
          <w:szCs w:val="24"/>
        </w:rPr>
        <w:t>report</w:t>
      </w:r>
      <w:r w:rsidRPr="006B1DE1">
        <w:t xml:space="preserve"> deals with Revenue and Capital monitoring which is key to delivering the infrastructure to deliver the Council’s priorities.</w:t>
      </w:r>
    </w:p>
    <w:p w14:paraId="766DB4CD" w14:textId="77777777" w:rsidR="00741AEB" w:rsidRDefault="00741AEB" w:rsidP="00741AEB"/>
    <w:p w14:paraId="69BE23A4" w14:textId="77777777" w:rsidR="00790694" w:rsidRDefault="00790694" w:rsidP="00741AEB"/>
    <w:p w14:paraId="3E6A3E7E" w14:textId="77777777" w:rsidR="00790694" w:rsidRDefault="00790694" w:rsidP="00741AEB"/>
    <w:p w14:paraId="0CEC418A" w14:textId="77777777" w:rsidR="00790694" w:rsidRDefault="00790694" w:rsidP="00741AEB"/>
    <w:p w14:paraId="09F7AA51" w14:textId="77777777" w:rsidR="00741AEB" w:rsidRPr="006B1DE1" w:rsidRDefault="00741AEB" w:rsidP="00741AEB">
      <w:pPr>
        <w:pStyle w:val="Heading1"/>
        <w:keepNext/>
      </w:pPr>
      <w:r w:rsidRPr="006B1DE1">
        <w:lastRenderedPageBreak/>
        <w:t>Section 3 - Statutory Officer Clearance</w:t>
      </w:r>
    </w:p>
    <w:p w14:paraId="7D4DA590" w14:textId="77777777" w:rsidR="00741AEB" w:rsidRPr="006B1DE1" w:rsidRDefault="00741AEB" w:rsidP="00741AEB">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11"/>
        <w:gridCol w:w="222"/>
        <w:gridCol w:w="3836"/>
      </w:tblGrid>
      <w:tr w:rsidR="00741AEB" w:rsidRPr="006B1DE1" w14:paraId="3C143FB1" w14:textId="77777777" w:rsidTr="00741AEB">
        <w:tc>
          <w:tcPr>
            <w:tcW w:w="2320" w:type="pct"/>
            <w:tcBorders>
              <w:bottom w:val="nil"/>
              <w:right w:val="nil"/>
            </w:tcBorders>
          </w:tcPr>
          <w:p w14:paraId="26D57D3D" w14:textId="77777777" w:rsidR="00741AEB" w:rsidRPr="006B1DE1" w:rsidRDefault="00741AEB" w:rsidP="00741AEB">
            <w:pPr>
              <w:pStyle w:val="Infotext"/>
            </w:pPr>
          </w:p>
          <w:p w14:paraId="673248E0" w14:textId="77777777" w:rsidR="00741AEB" w:rsidRPr="006B1DE1" w:rsidRDefault="00741AEB" w:rsidP="00741AEB">
            <w:pPr>
              <w:pStyle w:val="Infotext"/>
            </w:pPr>
          </w:p>
        </w:tc>
        <w:tc>
          <w:tcPr>
            <w:tcW w:w="246" w:type="pct"/>
            <w:tcBorders>
              <w:left w:val="nil"/>
              <w:right w:val="nil"/>
            </w:tcBorders>
          </w:tcPr>
          <w:p w14:paraId="0F22B0AA" w14:textId="77777777" w:rsidR="00741AEB" w:rsidRPr="006B1DE1" w:rsidRDefault="00741AEB" w:rsidP="00741AEB">
            <w:pPr>
              <w:pStyle w:val="Infotext"/>
            </w:pPr>
          </w:p>
        </w:tc>
        <w:tc>
          <w:tcPr>
            <w:tcW w:w="133" w:type="pct"/>
            <w:tcBorders>
              <w:left w:val="nil"/>
              <w:bottom w:val="nil"/>
              <w:right w:val="nil"/>
            </w:tcBorders>
          </w:tcPr>
          <w:p w14:paraId="40E023D4" w14:textId="77777777" w:rsidR="00741AEB" w:rsidRPr="006B1DE1" w:rsidRDefault="00741AEB" w:rsidP="00741AEB">
            <w:pPr>
              <w:pStyle w:val="Infotext"/>
            </w:pPr>
          </w:p>
        </w:tc>
        <w:tc>
          <w:tcPr>
            <w:tcW w:w="2300" w:type="pct"/>
            <w:tcBorders>
              <w:left w:val="nil"/>
              <w:bottom w:val="nil"/>
            </w:tcBorders>
          </w:tcPr>
          <w:p w14:paraId="71CB4D16" w14:textId="77777777" w:rsidR="00741AEB" w:rsidRPr="006B1DE1" w:rsidRDefault="00741AEB" w:rsidP="00741AEB">
            <w:pPr>
              <w:pStyle w:val="Infotext"/>
            </w:pPr>
          </w:p>
          <w:p w14:paraId="1F59335D" w14:textId="77777777" w:rsidR="00741AEB" w:rsidRPr="006B1DE1" w:rsidRDefault="00741AEB" w:rsidP="00741AEB">
            <w:pPr>
              <w:pStyle w:val="Infotext"/>
            </w:pPr>
          </w:p>
        </w:tc>
      </w:tr>
      <w:tr w:rsidR="00741AEB" w:rsidRPr="006B1DE1" w14:paraId="5822521C" w14:textId="77777777" w:rsidTr="00741AEB">
        <w:tc>
          <w:tcPr>
            <w:tcW w:w="2320" w:type="pct"/>
            <w:tcBorders>
              <w:top w:val="nil"/>
              <w:bottom w:val="nil"/>
            </w:tcBorders>
          </w:tcPr>
          <w:p w14:paraId="6FDC3906" w14:textId="77777777" w:rsidR="00741AEB" w:rsidRPr="006B1DE1" w:rsidRDefault="00741AEB" w:rsidP="00741AEB">
            <w:pPr>
              <w:pStyle w:val="Infotext"/>
            </w:pPr>
            <w:r w:rsidRPr="006B1DE1">
              <w:t>Name: Dawn Calvert</w:t>
            </w:r>
          </w:p>
        </w:tc>
        <w:tc>
          <w:tcPr>
            <w:tcW w:w="246" w:type="pct"/>
            <w:tcBorders>
              <w:bottom w:val="single" w:sz="4" w:space="0" w:color="auto"/>
            </w:tcBorders>
          </w:tcPr>
          <w:p w14:paraId="6E847F35" w14:textId="44C6DC94" w:rsidR="00741AEB" w:rsidRPr="006B1DE1" w:rsidRDefault="003266D0" w:rsidP="003266D0">
            <w:pPr>
              <w:pStyle w:val="Infotext"/>
            </w:pPr>
            <w:r>
              <w:t>x</w:t>
            </w:r>
          </w:p>
        </w:tc>
        <w:tc>
          <w:tcPr>
            <w:tcW w:w="133" w:type="pct"/>
            <w:tcBorders>
              <w:top w:val="nil"/>
              <w:bottom w:val="nil"/>
              <w:right w:val="nil"/>
            </w:tcBorders>
          </w:tcPr>
          <w:p w14:paraId="6C1100F9" w14:textId="77777777" w:rsidR="00741AEB" w:rsidRPr="006B1DE1" w:rsidRDefault="00741AEB" w:rsidP="00741AEB">
            <w:pPr>
              <w:pStyle w:val="Infotext"/>
            </w:pPr>
          </w:p>
        </w:tc>
        <w:tc>
          <w:tcPr>
            <w:tcW w:w="2300" w:type="pct"/>
            <w:tcBorders>
              <w:top w:val="nil"/>
              <w:left w:val="nil"/>
              <w:bottom w:val="nil"/>
            </w:tcBorders>
          </w:tcPr>
          <w:p w14:paraId="635F3FE0" w14:textId="77777777" w:rsidR="00741AEB" w:rsidRPr="006B1DE1" w:rsidRDefault="00741AEB" w:rsidP="00741AEB">
            <w:pPr>
              <w:pStyle w:val="Infotext"/>
            </w:pPr>
            <w:r w:rsidRPr="006B1DE1">
              <w:t>Chief Financial Officer</w:t>
            </w:r>
          </w:p>
        </w:tc>
      </w:tr>
      <w:tr w:rsidR="00741AEB" w:rsidRPr="006B1DE1" w14:paraId="1D8363A7" w14:textId="77777777" w:rsidTr="00741AEB">
        <w:tc>
          <w:tcPr>
            <w:tcW w:w="2320" w:type="pct"/>
            <w:tcBorders>
              <w:top w:val="nil"/>
              <w:right w:val="nil"/>
            </w:tcBorders>
          </w:tcPr>
          <w:p w14:paraId="37B4DEEE" w14:textId="77777777" w:rsidR="00741AEB" w:rsidRPr="006B1DE1" w:rsidRDefault="00741AEB" w:rsidP="00741AEB">
            <w:pPr>
              <w:pStyle w:val="Infotext"/>
            </w:pPr>
            <w:r w:rsidRPr="006B1DE1">
              <w:t xml:space="preserve"> </w:t>
            </w:r>
          </w:p>
          <w:p w14:paraId="30D91360" w14:textId="5B86AF8D" w:rsidR="00741AEB" w:rsidRPr="006B1DE1" w:rsidRDefault="00741AEB" w:rsidP="003266D0">
            <w:pPr>
              <w:pStyle w:val="Infotext"/>
            </w:pPr>
            <w:r w:rsidRPr="006B1DE1">
              <w:t xml:space="preserve">Date: </w:t>
            </w:r>
            <w:r w:rsidR="00530E7B">
              <w:t xml:space="preserve"> </w:t>
            </w:r>
            <w:r w:rsidR="00D87C56">
              <w:t>28 November 2016</w:t>
            </w:r>
          </w:p>
        </w:tc>
        <w:tc>
          <w:tcPr>
            <w:tcW w:w="246" w:type="pct"/>
            <w:tcBorders>
              <w:left w:val="nil"/>
              <w:bottom w:val="single" w:sz="4" w:space="0" w:color="auto"/>
              <w:right w:val="nil"/>
            </w:tcBorders>
          </w:tcPr>
          <w:p w14:paraId="12C90539" w14:textId="77777777" w:rsidR="00741AEB" w:rsidRPr="006B1DE1" w:rsidRDefault="00741AEB" w:rsidP="00741AEB">
            <w:pPr>
              <w:pStyle w:val="Infotext"/>
            </w:pPr>
          </w:p>
        </w:tc>
        <w:tc>
          <w:tcPr>
            <w:tcW w:w="133" w:type="pct"/>
            <w:tcBorders>
              <w:top w:val="nil"/>
              <w:left w:val="nil"/>
              <w:right w:val="nil"/>
            </w:tcBorders>
          </w:tcPr>
          <w:p w14:paraId="44DA09CA" w14:textId="77777777" w:rsidR="00741AEB" w:rsidRPr="006B1DE1" w:rsidRDefault="00741AEB" w:rsidP="00741AEB">
            <w:pPr>
              <w:pStyle w:val="Infotext"/>
            </w:pPr>
          </w:p>
        </w:tc>
        <w:tc>
          <w:tcPr>
            <w:tcW w:w="2300" w:type="pct"/>
            <w:tcBorders>
              <w:top w:val="nil"/>
              <w:left w:val="nil"/>
            </w:tcBorders>
          </w:tcPr>
          <w:p w14:paraId="7BB6590E" w14:textId="77777777" w:rsidR="00741AEB" w:rsidRPr="006B1DE1" w:rsidRDefault="00741AEB" w:rsidP="00741AEB">
            <w:pPr>
              <w:pStyle w:val="Infotext"/>
            </w:pPr>
          </w:p>
        </w:tc>
      </w:tr>
      <w:tr w:rsidR="00741AEB" w:rsidRPr="006B1DE1" w14:paraId="2C23E48D" w14:textId="77777777" w:rsidTr="00741AEB">
        <w:tc>
          <w:tcPr>
            <w:tcW w:w="2320" w:type="pct"/>
            <w:tcBorders>
              <w:bottom w:val="nil"/>
              <w:right w:val="nil"/>
            </w:tcBorders>
          </w:tcPr>
          <w:p w14:paraId="5492B0FE" w14:textId="77777777" w:rsidR="00741AEB" w:rsidRPr="006B1DE1" w:rsidRDefault="00741AEB" w:rsidP="00741AEB">
            <w:pPr>
              <w:pStyle w:val="Infotext"/>
            </w:pPr>
          </w:p>
          <w:p w14:paraId="1A9CEA60" w14:textId="77777777" w:rsidR="00741AEB" w:rsidRPr="006B1DE1" w:rsidRDefault="00741AEB" w:rsidP="00741AEB">
            <w:pPr>
              <w:pStyle w:val="Infotext"/>
            </w:pPr>
          </w:p>
        </w:tc>
        <w:tc>
          <w:tcPr>
            <w:tcW w:w="246" w:type="pct"/>
            <w:tcBorders>
              <w:left w:val="nil"/>
              <w:right w:val="nil"/>
            </w:tcBorders>
          </w:tcPr>
          <w:p w14:paraId="10D82026" w14:textId="77777777" w:rsidR="00741AEB" w:rsidRPr="006B1DE1" w:rsidRDefault="00741AEB" w:rsidP="00741AEB">
            <w:pPr>
              <w:pStyle w:val="Infotext"/>
            </w:pPr>
          </w:p>
        </w:tc>
        <w:tc>
          <w:tcPr>
            <w:tcW w:w="133" w:type="pct"/>
            <w:tcBorders>
              <w:left w:val="nil"/>
              <w:bottom w:val="nil"/>
              <w:right w:val="nil"/>
            </w:tcBorders>
          </w:tcPr>
          <w:p w14:paraId="4E55F8EB" w14:textId="77777777" w:rsidR="00741AEB" w:rsidRPr="006B1DE1" w:rsidRDefault="00741AEB" w:rsidP="00741AEB">
            <w:pPr>
              <w:pStyle w:val="Infotext"/>
            </w:pPr>
          </w:p>
        </w:tc>
        <w:tc>
          <w:tcPr>
            <w:tcW w:w="2300" w:type="pct"/>
            <w:tcBorders>
              <w:left w:val="nil"/>
              <w:bottom w:val="nil"/>
            </w:tcBorders>
          </w:tcPr>
          <w:p w14:paraId="533B222A" w14:textId="77777777" w:rsidR="00741AEB" w:rsidRPr="006B1DE1" w:rsidRDefault="00741AEB" w:rsidP="00741AEB">
            <w:pPr>
              <w:pStyle w:val="Infotext"/>
            </w:pPr>
          </w:p>
          <w:p w14:paraId="1E9A9A73" w14:textId="77777777" w:rsidR="00741AEB" w:rsidRPr="006B1DE1" w:rsidRDefault="00741AEB" w:rsidP="00741AEB">
            <w:pPr>
              <w:pStyle w:val="Infotext"/>
            </w:pPr>
            <w:r w:rsidRPr="006B1DE1">
              <w:t>on behalf of the</w:t>
            </w:r>
          </w:p>
        </w:tc>
      </w:tr>
      <w:tr w:rsidR="00741AEB" w:rsidRPr="006B1DE1" w14:paraId="0F0723F5" w14:textId="77777777" w:rsidTr="00741AEB">
        <w:tc>
          <w:tcPr>
            <w:tcW w:w="2320" w:type="pct"/>
            <w:tcBorders>
              <w:top w:val="nil"/>
              <w:bottom w:val="nil"/>
            </w:tcBorders>
          </w:tcPr>
          <w:p w14:paraId="7803C697" w14:textId="42FF650C" w:rsidR="00741AEB" w:rsidRPr="006B1DE1" w:rsidRDefault="00741AEB" w:rsidP="00CE1C9A">
            <w:pPr>
              <w:pStyle w:val="Infotext"/>
            </w:pPr>
            <w:r w:rsidRPr="006B1DE1">
              <w:t xml:space="preserve">Name: </w:t>
            </w:r>
            <w:r w:rsidR="00CC41DA">
              <w:t>Jessica Farmer</w:t>
            </w:r>
          </w:p>
        </w:tc>
        <w:tc>
          <w:tcPr>
            <w:tcW w:w="246" w:type="pct"/>
            <w:tcBorders>
              <w:bottom w:val="single" w:sz="4" w:space="0" w:color="auto"/>
            </w:tcBorders>
          </w:tcPr>
          <w:p w14:paraId="43E69919" w14:textId="1A3B0D45" w:rsidR="00741AEB" w:rsidRPr="006B1DE1" w:rsidRDefault="003266D0" w:rsidP="003266D0">
            <w:pPr>
              <w:pStyle w:val="Infotext"/>
            </w:pPr>
            <w:r>
              <w:t>x</w:t>
            </w:r>
          </w:p>
        </w:tc>
        <w:tc>
          <w:tcPr>
            <w:tcW w:w="133" w:type="pct"/>
            <w:tcBorders>
              <w:top w:val="nil"/>
              <w:bottom w:val="nil"/>
              <w:right w:val="nil"/>
            </w:tcBorders>
          </w:tcPr>
          <w:p w14:paraId="008C32DF" w14:textId="77777777" w:rsidR="00741AEB" w:rsidRPr="006B1DE1" w:rsidRDefault="00741AEB" w:rsidP="00741AEB">
            <w:pPr>
              <w:pStyle w:val="Infotext"/>
            </w:pPr>
          </w:p>
        </w:tc>
        <w:tc>
          <w:tcPr>
            <w:tcW w:w="2300" w:type="pct"/>
            <w:tcBorders>
              <w:top w:val="nil"/>
              <w:left w:val="nil"/>
              <w:bottom w:val="nil"/>
            </w:tcBorders>
          </w:tcPr>
          <w:p w14:paraId="1D883FE0" w14:textId="77777777" w:rsidR="00741AEB" w:rsidRPr="006B1DE1" w:rsidRDefault="00741AEB" w:rsidP="00741AEB">
            <w:pPr>
              <w:pStyle w:val="Infotext"/>
            </w:pPr>
            <w:r w:rsidRPr="006B1DE1">
              <w:t>Monitoring Officer</w:t>
            </w:r>
          </w:p>
        </w:tc>
      </w:tr>
      <w:tr w:rsidR="00741AEB" w:rsidRPr="006B1DE1" w14:paraId="66B81294" w14:textId="77777777" w:rsidTr="00741AEB">
        <w:tc>
          <w:tcPr>
            <w:tcW w:w="2320" w:type="pct"/>
            <w:tcBorders>
              <w:top w:val="nil"/>
              <w:right w:val="nil"/>
            </w:tcBorders>
          </w:tcPr>
          <w:p w14:paraId="1FFB3A19" w14:textId="77777777" w:rsidR="00741AEB" w:rsidRPr="006B1DE1" w:rsidRDefault="00741AEB" w:rsidP="00741AEB">
            <w:pPr>
              <w:pStyle w:val="Infotext"/>
            </w:pPr>
          </w:p>
          <w:p w14:paraId="03F082E0" w14:textId="5F3CC63E" w:rsidR="00741AEB" w:rsidRPr="006B1DE1" w:rsidRDefault="00741AEB" w:rsidP="003266D0">
            <w:pPr>
              <w:pStyle w:val="Infotext"/>
            </w:pPr>
            <w:r w:rsidRPr="006B1DE1">
              <w:t xml:space="preserve">Date: </w:t>
            </w:r>
            <w:r w:rsidR="00602412">
              <w:t>29 November 2016</w:t>
            </w:r>
          </w:p>
        </w:tc>
        <w:tc>
          <w:tcPr>
            <w:tcW w:w="246" w:type="pct"/>
            <w:tcBorders>
              <w:left w:val="nil"/>
              <w:right w:val="nil"/>
            </w:tcBorders>
          </w:tcPr>
          <w:p w14:paraId="3CD98688" w14:textId="77777777" w:rsidR="00741AEB" w:rsidRPr="006B1DE1" w:rsidRDefault="00741AEB" w:rsidP="00741AEB">
            <w:pPr>
              <w:pStyle w:val="Infotext"/>
            </w:pPr>
          </w:p>
        </w:tc>
        <w:tc>
          <w:tcPr>
            <w:tcW w:w="133" w:type="pct"/>
            <w:tcBorders>
              <w:top w:val="nil"/>
              <w:left w:val="nil"/>
              <w:right w:val="nil"/>
            </w:tcBorders>
          </w:tcPr>
          <w:p w14:paraId="000AE59E" w14:textId="77777777" w:rsidR="00741AEB" w:rsidRPr="006B1DE1" w:rsidRDefault="00741AEB" w:rsidP="00741AEB">
            <w:pPr>
              <w:pStyle w:val="Infotext"/>
            </w:pPr>
          </w:p>
        </w:tc>
        <w:tc>
          <w:tcPr>
            <w:tcW w:w="2300" w:type="pct"/>
            <w:tcBorders>
              <w:top w:val="nil"/>
              <w:left w:val="nil"/>
            </w:tcBorders>
          </w:tcPr>
          <w:p w14:paraId="3D177DDE" w14:textId="77777777" w:rsidR="00741AEB" w:rsidRPr="006B1DE1" w:rsidRDefault="00741AEB" w:rsidP="00741AEB">
            <w:pPr>
              <w:pStyle w:val="Infotext"/>
            </w:pPr>
          </w:p>
          <w:p w14:paraId="49449294" w14:textId="77777777" w:rsidR="00741AEB" w:rsidRPr="006B1DE1" w:rsidRDefault="00741AEB" w:rsidP="00741AEB">
            <w:pPr>
              <w:pStyle w:val="Infotext"/>
            </w:pPr>
          </w:p>
        </w:tc>
      </w:tr>
    </w:tbl>
    <w:p w14:paraId="3EAD974D" w14:textId="77777777"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3294"/>
      </w:tblGrid>
      <w:tr w:rsidR="00741AEB" w:rsidRPr="006B1DE1" w14:paraId="6B85578A" w14:textId="77777777" w:rsidTr="00741AEB">
        <w:trPr>
          <w:trHeight w:val="965"/>
        </w:trPr>
        <w:tc>
          <w:tcPr>
            <w:tcW w:w="3025" w:type="pct"/>
            <w:tcBorders>
              <w:right w:val="nil"/>
            </w:tcBorders>
          </w:tcPr>
          <w:p w14:paraId="24922F27" w14:textId="77777777" w:rsidR="00741AEB" w:rsidRPr="006B1DE1" w:rsidRDefault="00741AEB" w:rsidP="00741AEB">
            <w:pPr>
              <w:pStyle w:val="Infotext"/>
              <w:rPr>
                <w:rFonts w:ascii="Arial Black" w:hAnsi="Arial Black"/>
              </w:rPr>
            </w:pPr>
          </w:p>
          <w:p w14:paraId="1727BE44" w14:textId="77777777" w:rsidR="00741AEB" w:rsidRPr="006B1DE1" w:rsidRDefault="00741AEB" w:rsidP="00741AEB">
            <w:pPr>
              <w:pStyle w:val="Infotext"/>
              <w:rPr>
                <w:rFonts w:ascii="Arial Black" w:hAnsi="Arial Black"/>
              </w:rPr>
            </w:pPr>
            <w:r w:rsidRPr="006B1DE1">
              <w:rPr>
                <w:rFonts w:ascii="Arial Black" w:hAnsi="Arial Black"/>
              </w:rPr>
              <w:t>Ward Councillors notified:</w:t>
            </w:r>
          </w:p>
          <w:p w14:paraId="6ABAFB09" w14:textId="77777777" w:rsidR="00741AEB" w:rsidRPr="006B1DE1" w:rsidRDefault="00741AEB" w:rsidP="00741AEB">
            <w:pPr>
              <w:pStyle w:val="Infotext"/>
              <w:rPr>
                <w:color w:val="FF0000"/>
              </w:rPr>
            </w:pPr>
          </w:p>
        </w:tc>
        <w:tc>
          <w:tcPr>
            <w:tcW w:w="1975" w:type="pct"/>
            <w:tcBorders>
              <w:left w:val="nil"/>
            </w:tcBorders>
          </w:tcPr>
          <w:p w14:paraId="223D7B49" w14:textId="77777777" w:rsidR="00741AEB" w:rsidRPr="006B1DE1" w:rsidRDefault="00741AEB" w:rsidP="00741AEB">
            <w:pPr>
              <w:pStyle w:val="Infotext"/>
            </w:pPr>
          </w:p>
          <w:p w14:paraId="2BAF7264" w14:textId="77777777" w:rsidR="00741AEB" w:rsidRPr="006B1DE1" w:rsidRDefault="00741AEB" w:rsidP="00741AEB">
            <w:pPr>
              <w:pStyle w:val="Infotext"/>
              <w:spacing w:before="120"/>
              <w:rPr>
                <w:b/>
              </w:rPr>
            </w:pPr>
            <w:r w:rsidRPr="006B1DE1">
              <w:rPr>
                <w:b/>
              </w:rPr>
              <w:t xml:space="preserve">NO, as it impacts on all Wards </w:t>
            </w:r>
          </w:p>
          <w:p w14:paraId="04C43C20" w14:textId="77777777" w:rsidR="00741AEB" w:rsidRPr="006B1DE1" w:rsidRDefault="00741AEB" w:rsidP="00741AEB">
            <w:pPr>
              <w:pStyle w:val="Infotext"/>
              <w:rPr>
                <w:i/>
                <w:sz w:val="24"/>
                <w:szCs w:val="24"/>
              </w:rPr>
            </w:pPr>
            <w:r w:rsidRPr="006B1DE1">
              <w:rPr>
                <w:i/>
                <w:sz w:val="24"/>
                <w:szCs w:val="24"/>
              </w:rPr>
              <w:t xml:space="preserve">. </w:t>
            </w:r>
          </w:p>
          <w:p w14:paraId="77434A46" w14:textId="77777777" w:rsidR="00741AEB" w:rsidRPr="006B1DE1" w:rsidRDefault="00741AEB" w:rsidP="00741AEB">
            <w:pPr>
              <w:pStyle w:val="Infotext"/>
              <w:ind w:left="173"/>
              <w:rPr>
                <w:i/>
                <w:sz w:val="24"/>
                <w:szCs w:val="24"/>
              </w:rPr>
            </w:pPr>
          </w:p>
        </w:tc>
      </w:tr>
      <w:tr w:rsidR="00741AEB" w:rsidRPr="006B1DE1" w14:paraId="5A7748C7" w14:textId="77777777" w:rsidTr="00741AEB">
        <w:trPr>
          <w:trHeight w:val="965"/>
        </w:trPr>
        <w:tc>
          <w:tcPr>
            <w:tcW w:w="3025" w:type="pct"/>
            <w:tcBorders>
              <w:right w:val="nil"/>
            </w:tcBorders>
          </w:tcPr>
          <w:p w14:paraId="757C2990" w14:textId="77777777" w:rsidR="00741AEB" w:rsidRPr="006B1DE1" w:rsidRDefault="00741AEB" w:rsidP="00741AEB">
            <w:pPr>
              <w:pStyle w:val="Infotext"/>
              <w:rPr>
                <w:rFonts w:ascii="Arial Black" w:hAnsi="Arial Black"/>
                <w:color w:val="FF0000"/>
              </w:rPr>
            </w:pPr>
          </w:p>
          <w:p w14:paraId="375370D3" w14:textId="77777777" w:rsidR="00741AEB" w:rsidRPr="006B1DE1" w:rsidRDefault="00741AEB" w:rsidP="00741AEB">
            <w:pPr>
              <w:pStyle w:val="Infotext"/>
              <w:rPr>
                <w:rFonts w:ascii="Arial Black" w:hAnsi="Arial Black"/>
              </w:rPr>
            </w:pPr>
            <w:r w:rsidRPr="006B1DE1">
              <w:rPr>
                <w:rFonts w:ascii="Arial Black" w:hAnsi="Arial Black"/>
              </w:rPr>
              <w:t>EqIA carried out:</w:t>
            </w:r>
          </w:p>
          <w:p w14:paraId="171C1DB4" w14:textId="77777777" w:rsidR="00741AEB" w:rsidRPr="006B1DE1" w:rsidRDefault="00741AEB" w:rsidP="00741AEB">
            <w:pPr>
              <w:pStyle w:val="Infotext"/>
              <w:rPr>
                <w:rFonts w:ascii="Arial Black" w:hAnsi="Arial Black"/>
              </w:rPr>
            </w:pPr>
          </w:p>
          <w:p w14:paraId="2CAC4E12" w14:textId="77777777" w:rsidR="00741AEB" w:rsidRPr="006B1DE1" w:rsidRDefault="00741AEB" w:rsidP="00741AEB">
            <w:pPr>
              <w:pStyle w:val="Infotext"/>
              <w:rPr>
                <w:rFonts w:ascii="Arial Black" w:hAnsi="Arial Black"/>
                <w:color w:val="FF0000"/>
              </w:rPr>
            </w:pPr>
            <w:r w:rsidRPr="006B1DE1">
              <w:rPr>
                <w:rFonts w:ascii="Arial Black" w:hAnsi="Arial Black"/>
              </w:rPr>
              <w:t>EqIA cleared by:</w:t>
            </w:r>
          </w:p>
        </w:tc>
        <w:tc>
          <w:tcPr>
            <w:tcW w:w="1975" w:type="pct"/>
            <w:tcBorders>
              <w:left w:val="nil"/>
            </w:tcBorders>
          </w:tcPr>
          <w:p w14:paraId="693BCD8C" w14:textId="77777777" w:rsidR="00741AEB" w:rsidRPr="006B1DE1" w:rsidRDefault="00741AEB" w:rsidP="00741AEB">
            <w:pPr>
              <w:pStyle w:val="Infotext"/>
              <w:rPr>
                <w:b/>
                <w:color w:val="FF0000"/>
              </w:rPr>
            </w:pPr>
          </w:p>
          <w:p w14:paraId="364958DD" w14:textId="77777777" w:rsidR="00741AEB" w:rsidRPr="006B1DE1" w:rsidRDefault="00741AEB" w:rsidP="00741AEB">
            <w:pPr>
              <w:pStyle w:val="Infotext"/>
              <w:rPr>
                <w:b/>
              </w:rPr>
            </w:pPr>
            <w:r w:rsidRPr="006B1DE1">
              <w:rPr>
                <w:b/>
              </w:rPr>
              <w:t>NO</w:t>
            </w:r>
          </w:p>
          <w:p w14:paraId="3A485720" w14:textId="77777777" w:rsidR="00741AEB" w:rsidRPr="006B1DE1" w:rsidRDefault="00741AEB" w:rsidP="00741AEB">
            <w:pPr>
              <w:pStyle w:val="Infotext"/>
              <w:rPr>
                <w:b/>
                <w:color w:val="FF0000"/>
              </w:rPr>
            </w:pPr>
          </w:p>
          <w:p w14:paraId="1C08F076" w14:textId="77777777" w:rsidR="00741AEB" w:rsidRDefault="00741AEB" w:rsidP="003266D0">
            <w:pPr>
              <w:pStyle w:val="Infotext"/>
              <w:rPr>
                <w:color w:val="FF0000"/>
              </w:rPr>
            </w:pPr>
          </w:p>
          <w:p w14:paraId="23ED1CD1" w14:textId="1DFD986A" w:rsidR="003266D0" w:rsidRPr="006B1DE1" w:rsidRDefault="003266D0" w:rsidP="003266D0">
            <w:pPr>
              <w:pStyle w:val="Infotext"/>
              <w:rPr>
                <w:color w:val="FF0000"/>
              </w:rPr>
            </w:pPr>
            <w:r w:rsidRPr="003266D0">
              <w:t>N/A</w:t>
            </w:r>
          </w:p>
        </w:tc>
      </w:tr>
    </w:tbl>
    <w:p w14:paraId="2D2FE5BE" w14:textId="77777777" w:rsidR="00741AEB" w:rsidRPr="006B1DE1" w:rsidRDefault="00741AEB" w:rsidP="00741AEB"/>
    <w:p w14:paraId="218D6FA2" w14:textId="77777777" w:rsidR="00741AEB" w:rsidRPr="006B1DE1" w:rsidRDefault="00741AEB" w:rsidP="00741AEB"/>
    <w:p w14:paraId="4A0069E0" w14:textId="77777777" w:rsidR="00741AEB" w:rsidRPr="006B1DE1" w:rsidRDefault="00741AEB" w:rsidP="00741AEB">
      <w:pPr>
        <w:pStyle w:val="Heading1"/>
        <w:keepNext/>
      </w:pPr>
      <w:r w:rsidRPr="006B1DE1">
        <w:t xml:space="preserve">Section </w:t>
      </w:r>
      <w:r w:rsidR="008B25B2">
        <w:t>4</w:t>
      </w:r>
      <w:r w:rsidRPr="006B1DE1">
        <w:t xml:space="preserve"> - Contact Details and Background Papers</w:t>
      </w:r>
    </w:p>
    <w:p w14:paraId="0CEA8FEB" w14:textId="77777777" w:rsidR="00741AEB" w:rsidRPr="006B1DE1" w:rsidRDefault="00741AEB" w:rsidP="00741AEB">
      <w:pPr>
        <w:keepNext/>
        <w:rPr>
          <w:rFonts w:cs="Arial"/>
        </w:rPr>
      </w:pPr>
    </w:p>
    <w:p w14:paraId="1D9FE02C" w14:textId="77777777" w:rsidR="00741AEB" w:rsidRPr="006B1DE1" w:rsidRDefault="00741AEB" w:rsidP="00741AEB">
      <w:pPr>
        <w:keepNext/>
        <w:rPr>
          <w:rFonts w:cs="Arial"/>
        </w:rPr>
      </w:pPr>
    </w:p>
    <w:p w14:paraId="1967BB7F" w14:textId="0E1F5A6F" w:rsidR="008B25B2" w:rsidRPr="008B25B2" w:rsidRDefault="00741AEB" w:rsidP="008B25B2">
      <w:pPr>
        <w:pStyle w:val="Infotext"/>
        <w:rPr>
          <w:b/>
        </w:rPr>
      </w:pPr>
      <w:r w:rsidRPr="006B1DE1">
        <w:rPr>
          <w:b/>
        </w:rPr>
        <w:t xml:space="preserve">Contact:  </w:t>
      </w:r>
      <w:r w:rsidR="008B25B2">
        <w:t>Sharon Daniels</w:t>
      </w:r>
      <w:r w:rsidR="008B25B2" w:rsidRPr="009E22B0">
        <w:t xml:space="preserve"> (</w:t>
      </w:r>
      <w:hyperlink r:id="rId19" w:history="1">
        <w:r w:rsidR="008442CB" w:rsidRPr="00D70CEE">
          <w:rPr>
            <w:rStyle w:val="Hyperlink"/>
          </w:rPr>
          <w:t>sharon.daniels@harrow.gov.uk</w:t>
        </w:r>
      </w:hyperlink>
      <w:r w:rsidR="008B25B2" w:rsidRPr="009E22B0">
        <w:t xml:space="preserve">), </w:t>
      </w:r>
      <w:r w:rsidR="00337B3A">
        <w:t>Deputy sec151 officer Tel: 020 8424 1332</w:t>
      </w:r>
      <w:r w:rsidR="008B25B2" w:rsidRPr="009E22B0">
        <w:t xml:space="preserve"> </w:t>
      </w:r>
    </w:p>
    <w:p w14:paraId="3B90C3DD" w14:textId="77777777" w:rsidR="00741AEB" w:rsidRPr="006B1DE1" w:rsidRDefault="00741AEB" w:rsidP="00741AEB">
      <w:pPr>
        <w:pStyle w:val="Infotext"/>
        <w:rPr>
          <w:b/>
        </w:rPr>
      </w:pPr>
    </w:p>
    <w:p w14:paraId="3BB6CF20" w14:textId="77777777" w:rsidR="0079338C" w:rsidRPr="006B1DE1" w:rsidRDefault="0079338C" w:rsidP="00741AEB"/>
    <w:p w14:paraId="6F34D04B" w14:textId="77777777" w:rsidR="008B25B2" w:rsidRPr="008B25B2" w:rsidRDefault="00741AEB" w:rsidP="008B25B2">
      <w:pPr>
        <w:pStyle w:val="Infotext"/>
        <w:rPr>
          <w:rStyle w:val="Hyperlink"/>
          <w:b/>
        </w:rPr>
      </w:pPr>
      <w:r w:rsidRPr="006B1DE1">
        <w:rPr>
          <w:b/>
        </w:rPr>
        <w:t xml:space="preserve">Background Papers: </w:t>
      </w:r>
      <w:r w:rsidR="008B25B2">
        <w:rPr>
          <w:b/>
        </w:rPr>
        <w:t xml:space="preserve">Cabinet February </w:t>
      </w:r>
      <w:r w:rsidR="00337B3A">
        <w:rPr>
          <w:b/>
        </w:rPr>
        <w:t xml:space="preserve">18 </w:t>
      </w:r>
      <w:r w:rsidR="008B25B2">
        <w:rPr>
          <w:b/>
        </w:rPr>
        <w:t>2016</w:t>
      </w:r>
      <w:r w:rsidR="008B25B2" w:rsidRPr="008B25B2">
        <w:rPr>
          <w:b/>
        </w:rPr>
        <w:t>:</w:t>
      </w:r>
      <w:r w:rsidR="008B25B2" w:rsidRPr="008B25B2">
        <w:rPr>
          <w:b/>
        </w:rPr>
        <w:fldChar w:fldCharType="begin"/>
      </w:r>
      <w:r w:rsidR="008B25B2" w:rsidRPr="008B25B2">
        <w:rPr>
          <w:b/>
        </w:rPr>
        <w:instrText xml:space="preserve"> HYPERLINK "http://www.harrow.gov.uk/www2/documents/g62360/Public%20reports%20pack%20Thursday%2019-Feb-2015%2018.30%20Cabinet.pdf?T=10" </w:instrText>
      </w:r>
      <w:r w:rsidR="008B25B2" w:rsidRPr="008B25B2">
        <w:rPr>
          <w:b/>
        </w:rPr>
        <w:fldChar w:fldCharType="separate"/>
      </w:r>
      <w:r w:rsidR="008B25B2">
        <w:rPr>
          <w:rStyle w:val="Hyperlink"/>
          <w:b/>
        </w:rPr>
        <w:t>Capital Programme 20</w:t>
      </w:r>
      <w:r w:rsidR="008B25B2" w:rsidRPr="008B25B2">
        <w:rPr>
          <w:rStyle w:val="Hyperlink"/>
          <w:b/>
        </w:rPr>
        <w:t>16</w:t>
      </w:r>
      <w:r w:rsidR="008B25B2">
        <w:rPr>
          <w:rStyle w:val="Hyperlink"/>
          <w:b/>
        </w:rPr>
        <w:t>/17 to 20</w:t>
      </w:r>
      <w:r w:rsidR="008B25B2" w:rsidRPr="008B25B2">
        <w:rPr>
          <w:rStyle w:val="Hyperlink"/>
          <w:b/>
        </w:rPr>
        <w:t>19</w:t>
      </w:r>
      <w:r w:rsidR="008B25B2">
        <w:rPr>
          <w:rStyle w:val="Hyperlink"/>
          <w:b/>
        </w:rPr>
        <w:t>/20</w:t>
      </w:r>
    </w:p>
    <w:p w14:paraId="5827CCFF" w14:textId="77777777" w:rsidR="00741AEB" w:rsidRPr="006B1DE1" w:rsidRDefault="008B25B2" w:rsidP="008B25B2">
      <w:pPr>
        <w:pStyle w:val="Infotext"/>
        <w:rPr>
          <w:b/>
        </w:rPr>
      </w:pPr>
      <w:r w:rsidRPr="008B25B2">
        <w:rPr>
          <w:b/>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35"/>
        <w:gridCol w:w="4118"/>
      </w:tblGrid>
      <w:tr w:rsidR="00741AEB" w:rsidRPr="006B1DE1" w14:paraId="5A9BCF13" w14:textId="77777777" w:rsidTr="00741AEB">
        <w:trPr>
          <w:trHeight w:val="965"/>
        </w:trPr>
        <w:tc>
          <w:tcPr>
            <w:tcW w:w="2210" w:type="pct"/>
            <w:tcBorders>
              <w:right w:val="nil"/>
            </w:tcBorders>
          </w:tcPr>
          <w:p w14:paraId="61EC27B1" w14:textId="77777777" w:rsidR="00741AEB" w:rsidRPr="006B1DE1" w:rsidRDefault="00741AEB" w:rsidP="00741AEB">
            <w:pPr>
              <w:pStyle w:val="Infotext"/>
            </w:pPr>
          </w:p>
          <w:p w14:paraId="3BBB9F85" w14:textId="77777777" w:rsidR="00741AEB" w:rsidRPr="006B1DE1" w:rsidRDefault="00741AEB">
            <w:pPr>
              <w:pStyle w:val="Infotext"/>
            </w:pPr>
            <w:r w:rsidRPr="006B1DE1">
              <w:rPr>
                <w:rFonts w:ascii="Arial Black" w:hAnsi="Arial Black"/>
              </w:rPr>
              <w:t>Call-In Waived by the Chairman of Overview and Scrutiny Committee</w:t>
            </w:r>
          </w:p>
        </w:tc>
        <w:tc>
          <w:tcPr>
            <w:tcW w:w="321" w:type="pct"/>
            <w:tcBorders>
              <w:left w:val="nil"/>
              <w:right w:val="nil"/>
            </w:tcBorders>
          </w:tcPr>
          <w:p w14:paraId="27E39293" w14:textId="77777777" w:rsidR="00741AEB" w:rsidRPr="006B1DE1" w:rsidRDefault="00741AEB" w:rsidP="00741AEB">
            <w:pPr>
              <w:pStyle w:val="Infotext"/>
            </w:pPr>
          </w:p>
        </w:tc>
        <w:tc>
          <w:tcPr>
            <w:tcW w:w="2469" w:type="pct"/>
            <w:tcBorders>
              <w:left w:val="nil"/>
            </w:tcBorders>
          </w:tcPr>
          <w:p w14:paraId="607AE266" w14:textId="77777777" w:rsidR="00741AEB" w:rsidRPr="006B1DE1" w:rsidRDefault="00741AEB" w:rsidP="00741AEB">
            <w:pPr>
              <w:pStyle w:val="Infotext"/>
            </w:pPr>
          </w:p>
          <w:p w14:paraId="654C4A74" w14:textId="77777777" w:rsidR="00741AEB" w:rsidRPr="006B1DE1" w:rsidRDefault="00741AEB" w:rsidP="00741AEB">
            <w:pPr>
              <w:pStyle w:val="Infotext"/>
            </w:pPr>
            <w:r w:rsidRPr="006B1DE1">
              <w:rPr>
                <w:b/>
              </w:rPr>
              <w:t>NOT APPLICABLE</w:t>
            </w:r>
          </w:p>
          <w:p w14:paraId="3AD13775" w14:textId="77777777" w:rsidR="00741AEB" w:rsidRPr="006B1DE1" w:rsidRDefault="00741AEB" w:rsidP="00741AEB">
            <w:pPr>
              <w:pStyle w:val="Infotext"/>
            </w:pPr>
          </w:p>
          <w:p w14:paraId="07494BE3" w14:textId="77777777" w:rsidR="00741AEB" w:rsidRPr="006B1DE1" w:rsidRDefault="00741AEB" w:rsidP="00741AEB">
            <w:pPr>
              <w:pStyle w:val="Infotext"/>
            </w:pPr>
            <w:r w:rsidRPr="006B1DE1">
              <w:t>[Call-in applies]</w:t>
            </w:r>
          </w:p>
          <w:p w14:paraId="21F108C7" w14:textId="77777777" w:rsidR="00741AEB" w:rsidRPr="006B1DE1" w:rsidRDefault="00741AEB" w:rsidP="00741AEB">
            <w:pPr>
              <w:pStyle w:val="Infotext"/>
            </w:pPr>
          </w:p>
          <w:p w14:paraId="36EA6E72" w14:textId="77777777" w:rsidR="00741AEB" w:rsidRPr="006B1DE1" w:rsidRDefault="00741AEB" w:rsidP="00741AEB">
            <w:pPr>
              <w:pStyle w:val="Infotext"/>
              <w:ind w:left="173"/>
              <w:rPr>
                <w:i/>
                <w:sz w:val="24"/>
                <w:szCs w:val="24"/>
              </w:rPr>
            </w:pPr>
          </w:p>
        </w:tc>
      </w:tr>
    </w:tbl>
    <w:p w14:paraId="644AD678" w14:textId="77777777" w:rsidR="00C541A8" w:rsidRDefault="00C541A8" w:rsidP="00D26F3A">
      <w:pPr>
        <w:ind w:left="5760" w:firstLine="720"/>
        <w:rPr>
          <w:b/>
          <w:szCs w:val="24"/>
        </w:rPr>
      </w:pPr>
    </w:p>
    <w:p w14:paraId="61CF5B4B" w14:textId="77777777" w:rsidR="00DD1DE4" w:rsidRDefault="00DD1DE4" w:rsidP="00D26F3A">
      <w:pPr>
        <w:ind w:left="5760" w:firstLine="720"/>
        <w:rPr>
          <w:b/>
          <w:szCs w:val="24"/>
        </w:rPr>
      </w:pPr>
    </w:p>
    <w:p w14:paraId="7A2D8128" w14:textId="77777777" w:rsidR="003266D0" w:rsidRDefault="003266D0" w:rsidP="00D26F3A">
      <w:pPr>
        <w:ind w:left="5760" w:firstLine="720"/>
        <w:rPr>
          <w:b/>
          <w:szCs w:val="24"/>
        </w:rPr>
      </w:pPr>
    </w:p>
    <w:p w14:paraId="49AB86EA" w14:textId="12DCFA54" w:rsidR="00EA7740" w:rsidRDefault="00EA7740" w:rsidP="00D26F3A">
      <w:pPr>
        <w:ind w:left="5760" w:firstLine="720"/>
        <w:rPr>
          <w:b/>
          <w:szCs w:val="24"/>
        </w:rPr>
      </w:pPr>
      <w:r>
        <w:rPr>
          <w:b/>
          <w:szCs w:val="24"/>
        </w:rPr>
        <w:lastRenderedPageBreak/>
        <w:t>Appendix 1</w:t>
      </w:r>
    </w:p>
    <w:p w14:paraId="60D5BAC0" w14:textId="0E6DB29E" w:rsidR="00741AEB" w:rsidRPr="006B1DE1" w:rsidRDefault="00D26F3A" w:rsidP="003266D0">
      <w:pPr>
        <w:rPr>
          <w:b/>
        </w:rPr>
      </w:pPr>
      <w:r w:rsidRPr="00D26F3A">
        <w:rPr>
          <w:noProof/>
          <w:lang w:eastAsia="en-GB"/>
        </w:rPr>
        <w:drawing>
          <wp:inline distT="0" distB="0" distL="0" distR="0" wp14:anchorId="3EE8BBB1" wp14:editId="4259B10E">
            <wp:extent cx="5830431" cy="8953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0418" cy="8953859"/>
                    </a:xfrm>
                    <a:prstGeom prst="rect">
                      <a:avLst/>
                    </a:prstGeom>
                    <a:noFill/>
                    <a:ln>
                      <a:noFill/>
                    </a:ln>
                  </pic:spPr>
                </pic:pic>
              </a:graphicData>
            </a:graphic>
          </wp:inline>
        </w:drawing>
      </w:r>
      <w:r w:rsidR="00741AEB" w:rsidRPr="006B1DE1">
        <w:rPr>
          <w:b/>
        </w:rPr>
        <w:tab/>
      </w:r>
    </w:p>
    <w:sectPr w:rsidR="00741AEB" w:rsidRPr="006B1DE1" w:rsidSect="00760D1F">
      <w:headerReference w:type="even" r:id="rId21"/>
      <w:headerReference w:type="default" r:id="rId22"/>
      <w:footerReference w:type="even" r:id="rId23"/>
      <w:footerReference w:type="default" r:id="rId24"/>
      <w:headerReference w:type="first" r:id="rId25"/>
      <w:footerReference w:type="first" r:id="rId26"/>
      <w:pgSz w:w="11909" w:h="16834" w:code="9"/>
      <w:pgMar w:top="720" w:right="1986"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75687" w14:textId="77777777" w:rsidR="00E63A6F" w:rsidRDefault="00E63A6F">
      <w:r>
        <w:separator/>
      </w:r>
    </w:p>
  </w:endnote>
  <w:endnote w:type="continuationSeparator" w:id="0">
    <w:p w14:paraId="1059AD9F" w14:textId="77777777" w:rsidR="00E63A6F" w:rsidRDefault="00E6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712" w14:textId="77777777" w:rsidR="00E63A6F" w:rsidRDefault="00E63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12300"/>
      <w:docPartObj>
        <w:docPartGallery w:val="Page Numbers (Bottom of Page)"/>
        <w:docPartUnique/>
      </w:docPartObj>
    </w:sdtPr>
    <w:sdtEndPr>
      <w:rPr>
        <w:noProof/>
      </w:rPr>
    </w:sdtEndPr>
    <w:sdtContent>
      <w:p w14:paraId="00E5DD14" w14:textId="77777777" w:rsidR="00E63A6F" w:rsidRDefault="00E63A6F">
        <w:pPr>
          <w:pStyle w:val="Footer"/>
          <w:jc w:val="center"/>
        </w:pPr>
        <w:r>
          <w:fldChar w:fldCharType="begin"/>
        </w:r>
        <w:r>
          <w:instrText xml:space="preserve"> PAGE   \* MERGEFORMAT </w:instrText>
        </w:r>
        <w:r>
          <w:fldChar w:fldCharType="separate"/>
        </w:r>
        <w:r w:rsidR="00561119">
          <w:rPr>
            <w:noProof/>
          </w:rPr>
          <w:t>4</w:t>
        </w:r>
        <w:r>
          <w:rPr>
            <w:noProof/>
          </w:rPr>
          <w:fldChar w:fldCharType="end"/>
        </w:r>
      </w:p>
    </w:sdtContent>
  </w:sdt>
  <w:p w14:paraId="0D5EFBE5" w14:textId="77777777" w:rsidR="00E63A6F" w:rsidRDefault="00E63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1FBE" w14:textId="77777777" w:rsidR="00E63A6F" w:rsidRDefault="00E6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7E253" w14:textId="77777777" w:rsidR="00E63A6F" w:rsidRDefault="00E63A6F">
      <w:r>
        <w:separator/>
      </w:r>
    </w:p>
  </w:footnote>
  <w:footnote w:type="continuationSeparator" w:id="0">
    <w:p w14:paraId="5891DBEF" w14:textId="77777777" w:rsidR="00E63A6F" w:rsidRDefault="00E6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DEA5" w14:textId="77777777" w:rsidR="00E63A6F" w:rsidRDefault="00E63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0E64" w14:textId="77777777" w:rsidR="00E63A6F" w:rsidRDefault="00E63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FE7" w14:textId="41758F90" w:rsidR="00E63A6F" w:rsidRDefault="00E63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A4"/>
    <w:multiLevelType w:val="hybridMultilevel"/>
    <w:tmpl w:val="48CE5584"/>
    <w:lvl w:ilvl="0" w:tplc="429008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BD024F"/>
    <w:multiLevelType w:val="multilevel"/>
    <w:tmpl w:val="CC58FD56"/>
    <w:lvl w:ilvl="0">
      <w:start w:val="1"/>
      <w:numFmt w:val="decimal"/>
      <w:lvlText w:val="%1"/>
      <w:lvlJc w:val="left"/>
      <w:pPr>
        <w:ind w:left="360" w:hanging="360"/>
      </w:pPr>
      <w:rPr>
        <w:rFonts w:hint="default"/>
      </w:rPr>
    </w:lvl>
    <w:lvl w:ilvl="1">
      <w:start w:val="1"/>
      <w:numFmt w:val="none"/>
      <w:lvlText w:val="1"/>
      <w:lvlJc w:val="left"/>
      <w:pPr>
        <w:ind w:left="360" w:hanging="360"/>
      </w:pPr>
      <w:rPr>
        <w:rFonts w:hint="default"/>
      </w:rPr>
    </w:lvl>
    <w:lvl w:ilvl="2">
      <w:start w:val="1"/>
      <w:numFmt w:val="none"/>
      <w:lvlText w:val="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D66AB4"/>
    <w:multiLevelType w:val="multilevel"/>
    <w:tmpl w:val="30C8B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2C7440"/>
    <w:multiLevelType w:val="hybridMultilevel"/>
    <w:tmpl w:val="6D92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7312C"/>
    <w:multiLevelType w:val="hybridMultilevel"/>
    <w:tmpl w:val="64AC8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C04DDF"/>
    <w:multiLevelType w:val="multilevel"/>
    <w:tmpl w:val="26001AC4"/>
    <w:lvl w:ilvl="0">
      <w:start w:val="2"/>
      <w:numFmt w:val="decimal"/>
      <w:lvlText w:val="%1.0"/>
      <w:lvlJc w:val="left"/>
      <w:pPr>
        <w:ind w:left="405" w:hanging="405"/>
      </w:pPr>
      <w:rPr>
        <w:rFonts w:hint="default"/>
        <w:b/>
      </w:rPr>
    </w:lvl>
    <w:lvl w:ilvl="1">
      <w:start w:val="10"/>
      <w:numFmt w:val="decimal"/>
      <w:lvlText w:val="%1.%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87E4E54"/>
    <w:multiLevelType w:val="multilevel"/>
    <w:tmpl w:val="B4EE7DBE"/>
    <w:lvl w:ilvl="0">
      <w:start w:val="2"/>
      <w:numFmt w:val="decimal"/>
      <w:lvlText w:val="%1"/>
      <w:lvlJc w:val="left"/>
      <w:pPr>
        <w:ind w:left="465" w:hanging="465"/>
      </w:pPr>
      <w:rPr>
        <w:rFonts w:hint="default"/>
      </w:rPr>
    </w:lvl>
    <w:lvl w:ilvl="1">
      <w:start w:val="27"/>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7C05ED"/>
    <w:multiLevelType w:val="hybridMultilevel"/>
    <w:tmpl w:val="1518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D132A"/>
    <w:multiLevelType w:val="multilevel"/>
    <w:tmpl w:val="7E227BB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1B4ADA"/>
    <w:multiLevelType w:val="hybridMultilevel"/>
    <w:tmpl w:val="E70EB44E"/>
    <w:lvl w:ilvl="0" w:tplc="33163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6B52CF"/>
    <w:multiLevelType w:val="multilevel"/>
    <w:tmpl w:val="419C79C6"/>
    <w:lvl w:ilvl="0">
      <w:start w:val="2"/>
      <w:numFmt w:val="decimal"/>
      <w:lvlText w:val="%1.0"/>
      <w:lvlJc w:val="left"/>
      <w:pPr>
        <w:ind w:left="405" w:hanging="405"/>
      </w:pPr>
      <w:rPr>
        <w:rFonts w:hint="default"/>
        <w:b/>
      </w:rPr>
    </w:lvl>
    <w:lvl w:ilvl="1">
      <w:start w:val="21"/>
      <w:numFmt w:val="decimal"/>
      <w:lvlText w:val="%1.%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9B0012D"/>
    <w:multiLevelType w:val="hybridMultilevel"/>
    <w:tmpl w:val="A1BE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24101"/>
    <w:multiLevelType w:val="multilevel"/>
    <w:tmpl w:val="2F02AF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7D6F6B"/>
    <w:multiLevelType w:val="hybridMultilevel"/>
    <w:tmpl w:val="6FBCF97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4">
    <w:nsid w:val="2D363768"/>
    <w:multiLevelType w:val="hybridMultilevel"/>
    <w:tmpl w:val="2CA2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892EBC"/>
    <w:multiLevelType w:val="multilevel"/>
    <w:tmpl w:val="71E0024A"/>
    <w:lvl w:ilvl="0">
      <w:start w:val="1"/>
      <w:numFmt w:val="decimal"/>
      <w:lvlText w:val="%1"/>
      <w:lvlJc w:val="left"/>
      <w:pPr>
        <w:ind w:left="360" w:hanging="360"/>
      </w:pPr>
      <w:rPr>
        <w:rFonts w:hint="default"/>
      </w:rPr>
    </w:lvl>
    <w:lvl w:ilvl="1">
      <w:start w:val="1"/>
      <w:numFmt w:val="none"/>
      <w:lvlText w:val="1"/>
      <w:lvlJc w:val="left"/>
      <w:pPr>
        <w:ind w:left="360" w:hanging="360"/>
      </w:pPr>
      <w:rPr>
        <w:rFonts w:hint="default"/>
      </w:rPr>
    </w:lvl>
    <w:lvl w:ilvl="2">
      <w:start w:val="1"/>
      <w:numFmt w:val="none"/>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F031DD"/>
    <w:multiLevelType w:val="hybridMultilevel"/>
    <w:tmpl w:val="952C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52B72"/>
    <w:multiLevelType w:val="multilevel"/>
    <w:tmpl w:val="C00C1B2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BC4B05"/>
    <w:multiLevelType w:val="hybridMultilevel"/>
    <w:tmpl w:val="B5BA198C"/>
    <w:lvl w:ilvl="0" w:tplc="A60A5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006271"/>
    <w:multiLevelType w:val="multilevel"/>
    <w:tmpl w:val="BDE0ABAE"/>
    <w:lvl w:ilvl="0">
      <w:start w:val="2"/>
      <w:numFmt w:val="decimal"/>
      <w:lvlText w:val="%1"/>
      <w:lvlJc w:val="left"/>
      <w:pPr>
        <w:ind w:left="465" w:hanging="465"/>
      </w:pPr>
      <w:rPr>
        <w:rFonts w:hint="default"/>
      </w:rPr>
    </w:lvl>
    <w:lvl w:ilvl="1">
      <w:start w:val="4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CE20FB"/>
    <w:multiLevelType w:val="hybridMultilevel"/>
    <w:tmpl w:val="215E8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555C36"/>
    <w:multiLevelType w:val="hybridMultilevel"/>
    <w:tmpl w:val="B2D4E64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2">
    <w:nsid w:val="4D255698"/>
    <w:multiLevelType w:val="multilevel"/>
    <w:tmpl w:val="BBB0E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835A32"/>
    <w:multiLevelType w:val="multilevel"/>
    <w:tmpl w:val="D4FA0E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233EB0"/>
    <w:multiLevelType w:val="multilevel"/>
    <w:tmpl w:val="2F72B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CCD3E8B"/>
    <w:multiLevelType w:val="hybridMultilevel"/>
    <w:tmpl w:val="377A9EDC"/>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6">
    <w:nsid w:val="6D1806FC"/>
    <w:multiLevelType w:val="hybridMultilevel"/>
    <w:tmpl w:val="33E2DEA6"/>
    <w:lvl w:ilvl="0" w:tplc="8E12D3B2">
      <w:start w:val="139"/>
      <w:numFmt w:val="decimal"/>
      <w:lvlText w:val="%1"/>
      <w:lvlJc w:val="left"/>
      <w:pPr>
        <w:ind w:left="765" w:hanging="4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2F6F4D"/>
    <w:multiLevelType w:val="multilevel"/>
    <w:tmpl w:val="2C0AC798"/>
    <w:lvl w:ilvl="0">
      <w:start w:val="2"/>
      <w:numFmt w:val="decimal"/>
      <w:lvlText w:val="%1"/>
      <w:lvlJc w:val="left"/>
      <w:pPr>
        <w:ind w:left="465" w:hanging="465"/>
      </w:pPr>
      <w:rPr>
        <w:rFonts w:hint="default"/>
      </w:rPr>
    </w:lvl>
    <w:lvl w:ilvl="1">
      <w:start w:val="3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6D4622B"/>
    <w:multiLevelType w:val="hybridMultilevel"/>
    <w:tmpl w:val="CE226CB6"/>
    <w:lvl w:ilvl="0" w:tplc="08090017">
      <w:start w:val="1"/>
      <w:numFmt w:val="lowerLetter"/>
      <w:lvlText w:val="%1)"/>
      <w:lvlJc w:val="left"/>
      <w:pPr>
        <w:ind w:left="1080" w:hanging="360"/>
      </w:pPr>
      <w:rPr>
        <w:rFonts w:hint="default"/>
        <w:b w:val="0"/>
        <w:sz w:val="24"/>
        <w:szCs w:val="24"/>
      </w:rPr>
    </w:lvl>
    <w:lvl w:ilvl="1" w:tplc="08090019">
      <w:start w:val="1"/>
      <w:numFmt w:val="lowerLetter"/>
      <w:lvlText w:val="%2."/>
      <w:lvlJc w:val="left"/>
      <w:pPr>
        <w:ind w:left="1734" w:hanging="360"/>
      </w:pPr>
    </w:lvl>
    <w:lvl w:ilvl="2" w:tplc="CF8A885E">
      <w:numFmt w:val="bullet"/>
      <w:lvlText w:val="•"/>
      <w:lvlJc w:val="left"/>
      <w:pPr>
        <w:ind w:left="3294" w:hanging="1020"/>
      </w:pPr>
      <w:rPr>
        <w:rFonts w:ascii="Arial" w:eastAsia="Times New Roman" w:hAnsi="Arial" w:cs="Arial"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29">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8094ACA"/>
    <w:multiLevelType w:val="multilevel"/>
    <w:tmpl w:val="6816A288"/>
    <w:lvl w:ilvl="0">
      <w:start w:val="2"/>
      <w:numFmt w:val="decimal"/>
      <w:lvlText w:val="%1.0"/>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9FC18AC"/>
    <w:multiLevelType w:val="multilevel"/>
    <w:tmpl w:val="B2109786"/>
    <w:lvl w:ilvl="0">
      <w:start w:val="2"/>
      <w:numFmt w:val="decimal"/>
      <w:lvlText w:val="%1"/>
      <w:lvlJc w:val="left"/>
      <w:pPr>
        <w:ind w:left="465" w:hanging="465"/>
      </w:pPr>
      <w:rPr>
        <w:rFonts w:hint="default"/>
      </w:rPr>
    </w:lvl>
    <w:lvl w:ilvl="1">
      <w:start w:val="49"/>
      <w:numFmt w:val="decimal"/>
      <w:lvlText w:val="%1.%2"/>
      <w:lvlJc w:val="left"/>
      <w:pPr>
        <w:ind w:left="465" w:hanging="465"/>
      </w:pPr>
      <w:rPr>
        <w:rFonts w:hint="default"/>
        <w:b w:val="0"/>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0C3291"/>
    <w:multiLevelType w:val="multilevel"/>
    <w:tmpl w:val="2C0AC798"/>
    <w:lvl w:ilvl="0">
      <w:start w:val="2"/>
      <w:numFmt w:val="decimal"/>
      <w:lvlText w:val="%1"/>
      <w:lvlJc w:val="left"/>
      <w:pPr>
        <w:ind w:left="465" w:hanging="465"/>
      </w:pPr>
      <w:rPr>
        <w:rFonts w:hint="default"/>
      </w:rPr>
    </w:lvl>
    <w:lvl w:ilvl="1">
      <w:start w:val="35"/>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150E73"/>
    <w:multiLevelType w:val="multilevel"/>
    <w:tmpl w:val="781A20D0"/>
    <w:lvl w:ilvl="0">
      <w:start w:val="2"/>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8"/>
  </w:num>
  <w:num w:numId="3">
    <w:abstractNumId w:val="26"/>
  </w:num>
  <w:num w:numId="4">
    <w:abstractNumId w:val="4"/>
  </w:num>
  <w:num w:numId="5">
    <w:abstractNumId w:val="1"/>
  </w:num>
  <w:num w:numId="6">
    <w:abstractNumId w:val="30"/>
  </w:num>
  <w:num w:numId="7">
    <w:abstractNumId w:val="22"/>
  </w:num>
  <w:num w:numId="8">
    <w:abstractNumId w:val="24"/>
  </w:num>
  <w:num w:numId="9">
    <w:abstractNumId w:val="8"/>
  </w:num>
  <w:num w:numId="10">
    <w:abstractNumId w:val="23"/>
  </w:num>
  <w:num w:numId="11">
    <w:abstractNumId w:val="12"/>
  </w:num>
  <w:num w:numId="12">
    <w:abstractNumId w:val="17"/>
  </w:num>
  <w:num w:numId="13">
    <w:abstractNumId w:val="0"/>
  </w:num>
  <w:num w:numId="14">
    <w:abstractNumId w:val="18"/>
  </w:num>
  <w:num w:numId="15">
    <w:abstractNumId w:val="9"/>
  </w:num>
  <w:num w:numId="16">
    <w:abstractNumId w:val="27"/>
  </w:num>
  <w:num w:numId="17">
    <w:abstractNumId w:val="6"/>
  </w:num>
  <w:num w:numId="18">
    <w:abstractNumId w:val="33"/>
  </w:num>
  <w:num w:numId="19">
    <w:abstractNumId w:val="3"/>
  </w:num>
  <w:num w:numId="20">
    <w:abstractNumId w:val="7"/>
  </w:num>
  <w:num w:numId="21">
    <w:abstractNumId w:val="21"/>
  </w:num>
  <w:num w:numId="22">
    <w:abstractNumId w:val="14"/>
  </w:num>
  <w:num w:numId="23">
    <w:abstractNumId w:val="16"/>
  </w:num>
  <w:num w:numId="24">
    <w:abstractNumId w:val="20"/>
  </w:num>
  <w:num w:numId="25">
    <w:abstractNumId w:val="19"/>
  </w:num>
  <w:num w:numId="26">
    <w:abstractNumId w:val="15"/>
  </w:num>
  <w:num w:numId="27">
    <w:abstractNumId w:val="32"/>
  </w:num>
  <w:num w:numId="28">
    <w:abstractNumId w:val="31"/>
  </w:num>
  <w:num w:numId="29">
    <w:abstractNumId w:val="2"/>
  </w:num>
  <w:num w:numId="30">
    <w:abstractNumId w:val="25"/>
  </w:num>
  <w:num w:numId="31">
    <w:abstractNumId w:val="10"/>
  </w:num>
  <w:num w:numId="32">
    <w:abstractNumId w:val="5"/>
  </w:num>
  <w:num w:numId="33">
    <w:abstractNumId w:val="13"/>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3E8"/>
    <w:rsid w:val="00006F6F"/>
    <w:rsid w:val="000119C0"/>
    <w:rsid w:val="0001210E"/>
    <w:rsid w:val="00012B11"/>
    <w:rsid w:val="000163EE"/>
    <w:rsid w:val="0002225B"/>
    <w:rsid w:val="0002314A"/>
    <w:rsid w:val="00025ABE"/>
    <w:rsid w:val="00027425"/>
    <w:rsid w:val="0002799D"/>
    <w:rsid w:val="00031C5C"/>
    <w:rsid w:val="0003318A"/>
    <w:rsid w:val="00037475"/>
    <w:rsid w:val="00037BE0"/>
    <w:rsid w:val="0004029A"/>
    <w:rsid w:val="00042683"/>
    <w:rsid w:val="00043F86"/>
    <w:rsid w:val="000445EC"/>
    <w:rsid w:val="00045FE8"/>
    <w:rsid w:val="00053BAD"/>
    <w:rsid w:val="000555AB"/>
    <w:rsid w:val="0006034E"/>
    <w:rsid w:val="000618FC"/>
    <w:rsid w:val="00061D7A"/>
    <w:rsid w:val="000621FA"/>
    <w:rsid w:val="00063078"/>
    <w:rsid w:val="00063783"/>
    <w:rsid w:val="00064800"/>
    <w:rsid w:val="000652E0"/>
    <w:rsid w:val="0006617F"/>
    <w:rsid w:val="00073765"/>
    <w:rsid w:val="000743C7"/>
    <w:rsid w:val="00076343"/>
    <w:rsid w:val="000773A9"/>
    <w:rsid w:val="00090038"/>
    <w:rsid w:val="00091897"/>
    <w:rsid w:val="00094E7B"/>
    <w:rsid w:val="00094E90"/>
    <w:rsid w:val="00095755"/>
    <w:rsid w:val="00097294"/>
    <w:rsid w:val="00097587"/>
    <w:rsid w:val="000A0B39"/>
    <w:rsid w:val="000A4437"/>
    <w:rsid w:val="000A5229"/>
    <w:rsid w:val="000A7F0F"/>
    <w:rsid w:val="000B20C5"/>
    <w:rsid w:val="000B215B"/>
    <w:rsid w:val="000B788F"/>
    <w:rsid w:val="000C1A07"/>
    <w:rsid w:val="000D4392"/>
    <w:rsid w:val="000D5959"/>
    <w:rsid w:val="000E5E42"/>
    <w:rsid w:val="000F0252"/>
    <w:rsid w:val="000F0621"/>
    <w:rsid w:val="000F145C"/>
    <w:rsid w:val="000F1625"/>
    <w:rsid w:val="000F2ACA"/>
    <w:rsid w:val="000F3F11"/>
    <w:rsid w:val="000F57E6"/>
    <w:rsid w:val="000F7A5A"/>
    <w:rsid w:val="000F7B80"/>
    <w:rsid w:val="00103C57"/>
    <w:rsid w:val="00105119"/>
    <w:rsid w:val="001058A6"/>
    <w:rsid w:val="00107AED"/>
    <w:rsid w:val="001122DA"/>
    <w:rsid w:val="00113AD3"/>
    <w:rsid w:val="00113B0F"/>
    <w:rsid w:val="0011499A"/>
    <w:rsid w:val="001161E4"/>
    <w:rsid w:val="00116FF4"/>
    <w:rsid w:val="00123FE5"/>
    <w:rsid w:val="001248DE"/>
    <w:rsid w:val="00125A0A"/>
    <w:rsid w:val="00125A26"/>
    <w:rsid w:val="00127264"/>
    <w:rsid w:val="001305E1"/>
    <w:rsid w:val="00132BD9"/>
    <w:rsid w:val="001347B9"/>
    <w:rsid w:val="00136732"/>
    <w:rsid w:val="00140391"/>
    <w:rsid w:val="00142D08"/>
    <w:rsid w:val="00145163"/>
    <w:rsid w:val="0014523E"/>
    <w:rsid w:val="0014760B"/>
    <w:rsid w:val="00152955"/>
    <w:rsid w:val="00153933"/>
    <w:rsid w:val="0015627A"/>
    <w:rsid w:val="00156B7C"/>
    <w:rsid w:val="00156F1D"/>
    <w:rsid w:val="001617BD"/>
    <w:rsid w:val="0017148A"/>
    <w:rsid w:val="001737AD"/>
    <w:rsid w:val="00173DA5"/>
    <w:rsid w:val="001757AA"/>
    <w:rsid w:val="00175BF2"/>
    <w:rsid w:val="00177F95"/>
    <w:rsid w:val="00182EFE"/>
    <w:rsid w:val="00183402"/>
    <w:rsid w:val="00183D33"/>
    <w:rsid w:val="001840D2"/>
    <w:rsid w:val="001854AD"/>
    <w:rsid w:val="001902EE"/>
    <w:rsid w:val="0019085B"/>
    <w:rsid w:val="00191C4D"/>
    <w:rsid w:val="00193934"/>
    <w:rsid w:val="00195BF8"/>
    <w:rsid w:val="001966D7"/>
    <w:rsid w:val="001A2C9A"/>
    <w:rsid w:val="001A2F69"/>
    <w:rsid w:val="001A637F"/>
    <w:rsid w:val="001A7F3D"/>
    <w:rsid w:val="001B10B1"/>
    <w:rsid w:val="001B18EA"/>
    <w:rsid w:val="001B2510"/>
    <w:rsid w:val="001B35A1"/>
    <w:rsid w:val="001B7156"/>
    <w:rsid w:val="001C327B"/>
    <w:rsid w:val="001C41F0"/>
    <w:rsid w:val="001C46E8"/>
    <w:rsid w:val="001C4D2E"/>
    <w:rsid w:val="001C64C0"/>
    <w:rsid w:val="001C7E35"/>
    <w:rsid w:val="001D70DB"/>
    <w:rsid w:val="001E03A9"/>
    <w:rsid w:val="001E2C27"/>
    <w:rsid w:val="001E3C06"/>
    <w:rsid w:val="001E3FB6"/>
    <w:rsid w:val="001E4B42"/>
    <w:rsid w:val="001E726C"/>
    <w:rsid w:val="001E7B76"/>
    <w:rsid w:val="001F0BE9"/>
    <w:rsid w:val="001F1E67"/>
    <w:rsid w:val="001F3203"/>
    <w:rsid w:val="001F6A05"/>
    <w:rsid w:val="001F7C04"/>
    <w:rsid w:val="00202B1C"/>
    <w:rsid w:val="00202D79"/>
    <w:rsid w:val="00205D2F"/>
    <w:rsid w:val="0020754A"/>
    <w:rsid w:val="002102D9"/>
    <w:rsid w:val="00215E8F"/>
    <w:rsid w:val="0021777C"/>
    <w:rsid w:val="00221EBE"/>
    <w:rsid w:val="00226873"/>
    <w:rsid w:val="0022766E"/>
    <w:rsid w:val="002410B2"/>
    <w:rsid w:val="00244B4B"/>
    <w:rsid w:val="002460D0"/>
    <w:rsid w:val="00247CA6"/>
    <w:rsid w:val="00250C20"/>
    <w:rsid w:val="00252876"/>
    <w:rsid w:val="00252E7B"/>
    <w:rsid w:val="002548D1"/>
    <w:rsid w:val="00261BEE"/>
    <w:rsid w:val="00262389"/>
    <w:rsid w:val="0026276E"/>
    <w:rsid w:val="00265871"/>
    <w:rsid w:val="0026742C"/>
    <w:rsid w:val="002700B2"/>
    <w:rsid w:val="00272BA1"/>
    <w:rsid w:val="002738A7"/>
    <w:rsid w:val="00274560"/>
    <w:rsid w:val="00275339"/>
    <w:rsid w:val="002774F4"/>
    <w:rsid w:val="00277F3C"/>
    <w:rsid w:val="0028019B"/>
    <w:rsid w:val="002807EE"/>
    <w:rsid w:val="0028316A"/>
    <w:rsid w:val="00287B24"/>
    <w:rsid w:val="0029131B"/>
    <w:rsid w:val="00292A6D"/>
    <w:rsid w:val="002A03E0"/>
    <w:rsid w:val="002A27C0"/>
    <w:rsid w:val="002A2E47"/>
    <w:rsid w:val="002A3389"/>
    <w:rsid w:val="002A6274"/>
    <w:rsid w:val="002B11DD"/>
    <w:rsid w:val="002B2CBE"/>
    <w:rsid w:val="002B2F92"/>
    <w:rsid w:val="002B53D9"/>
    <w:rsid w:val="002B54A6"/>
    <w:rsid w:val="002B55CB"/>
    <w:rsid w:val="002C05D1"/>
    <w:rsid w:val="002C2BF0"/>
    <w:rsid w:val="002C36A3"/>
    <w:rsid w:val="002C3AEC"/>
    <w:rsid w:val="002C5A31"/>
    <w:rsid w:val="002C672F"/>
    <w:rsid w:val="002C67F2"/>
    <w:rsid w:val="002D1517"/>
    <w:rsid w:val="002D407C"/>
    <w:rsid w:val="002E02D3"/>
    <w:rsid w:val="002E14DC"/>
    <w:rsid w:val="002E2CEA"/>
    <w:rsid w:val="002E4BE3"/>
    <w:rsid w:val="002E5AF5"/>
    <w:rsid w:val="002E7F35"/>
    <w:rsid w:val="002F019A"/>
    <w:rsid w:val="002F3BA1"/>
    <w:rsid w:val="002F3EE9"/>
    <w:rsid w:val="002F7D59"/>
    <w:rsid w:val="0030045F"/>
    <w:rsid w:val="00300486"/>
    <w:rsid w:val="00302CD3"/>
    <w:rsid w:val="0031019C"/>
    <w:rsid w:val="0031185B"/>
    <w:rsid w:val="003146F9"/>
    <w:rsid w:val="003158E5"/>
    <w:rsid w:val="0031658B"/>
    <w:rsid w:val="00317314"/>
    <w:rsid w:val="00321915"/>
    <w:rsid w:val="0032550B"/>
    <w:rsid w:val="00326163"/>
    <w:rsid w:val="003266D0"/>
    <w:rsid w:val="003311B8"/>
    <w:rsid w:val="003338E7"/>
    <w:rsid w:val="00333FAA"/>
    <w:rsid w:val="003355D7"/>
    <w:rsid w:val="00337B3A"/>
    <w:rsid w:val="0034597F"/>
    <w:rsid w:val="00350F07"/>
    <w:rsid w:val="0035160F"/>
    <w:rsid w:val="00351735"/>
    <w:rsid w:val="00352721"/>
    <w:rsid w:val="0035272C"/>
    <w:rsid w:val="00354BAA"/>
    <w:rsid w:val="0036036E"/>
    <w:rsid w:val="003612D5"/>
    <w:rsid w:val="0036201C"/>
    <w:rsid w:val="003728EE"/>
    <w:rsid w:val="00374CD5"/>
    <w:rsid w:val="00374CD9"/>
    <w:rsid w:val="00375004"/>
    <w:rsid w:val="003767A0"/>
    <w:rsid w:val="003800E7"/>
    <w:rsid w:val="00381232"/>
    <w:rsid w:val="00391685"/>
    <w:rsid w:val="0039230A"/>
    <w:rsid w:val="0039329E"/>
    <w:rsid w:val="00395F18"/>
    <w:rsid w:val="003A1CD0"/>
    <w:rsid w:val="003B39DA"/>
    <w:rsid w:val="003B7564"/>
    <w:rsid w:val="003B7581"/>
    <w:rsid w:val="003C0274"/>
    <w:rsid w:val="003C0668"/>
    <w:rsid w:val="003C0934"/>
    <w:rsid w:val="003C2B48"/>
    <w:rsid w:val="003C2EB7"/>
    <w:rsid w:val="003D214C"/>
    <w:rsid w:val="003D2CC8"/>
    <w:rsid w:val="003D3A08"/>
    <w:rsid w:val="003D3BCC"/>
    <w:rsid w:val="003D460D"/>
    <w:rsid w:val="003D6C5E"/>
    <w:rsid w:val="003E3DD7"/>
    <w:rsid w:val="003E4584"/>
    <w:rsid w:val="003E5B92"/>
    <w:rsid w:val="003E679C"/>
    <w:rsid w:val="003F47B4"/>
    <w:rsid w:val="003F5751"/>
    <w:rsid w:val="003F58EF"/>
    <w:rsid w:val="00400D46"/>
    <w:rsid w:val="00404FAB"/>
    <w:rsid w:val="004076C8"/>
    <w:rsid w:val="0041077E"/>
    <w:rsid w:val="00410E11"/>
    <w:rsid w:val="00410EE1"/>
    <w:rsid w:val="004113D1"/>
    <w:rsid w:val="00411ADC"/>
    <w:rsid w:val="004122E8"/>
    <w:rsid w:val="00417C41"/>
    <w:rsid w:val="00421A4C"/>
    <w:rsid w:val="00422246"/>
    <w:rsid w:val="00423E1E"/>
    <w:rsid w:val="0042411C"/>
    <w:rsid w:val="00431404"/>
    <w:rsid w:val="004333E4"/>
    <w:rsid w:val="004363F7"/>
    <w:rsid w:val="00440125"/>
    <w:rsid w:val="00440EBF"/>
    <w:rsid w:val="00442337"/>
    <w:rsid w:val="0044386A"/>
    <w:rsid w:val="00444185"/>
    <w:rsid w:val="00450B60"/>
    <w:rsid w:val="00453541"/>
    <w:rsid w:val="00455115"/>
    <w:rsid w:val="004577FE"/>
    <w:rsid w:val="0046177B"/>
    <w:rsid w:val="0046460C"/>
    <w:rsid w:val="00471C1F"/>
    <w:rsid w:val="00474414"/>
    <w:rsid w:val="004751D8"/>
    <w:rsid w:val="004821B5"/>
    <w:rsid w:val="00485B91"/>
    <w:rsid w:val="0048704A"/>
    <w:rsid w:val="00487842"/>
    <w:rsid w:val="0049066C"/>
    <w:rsid w:val="004922C6"/>
    <w:rsid w:val="00494AF7"/>
    <w:rsid w:val="004A2B66"/>
    <w:rsid w:val="004A3AE4"/>
    <w:rsid w:val="004A65BF"/>
    <w:rsid w:val="004B0F4C"/>
    <w:rsid w:val="004B1F90"/>
    <w:rsid w:val="004C448D"/>
    <w:rsid w:val="004C4B5E"/>
    <w:rsid w:val="004C54F6"/>
    <w:rsid w:val="004C6495"/>
    <w:rsid w:val="004C6B6C"/>
    <w:rsid w:val="004D2DA0"/>
    <w:rsid w:val="004D6EBB"/>
    <w:rsid w:val="004E14A4"/>
    <w:rsid w:val="004E52B3"/>
    <w:rsid w:val="004E65F1"/>
    <w:rsid w:val="004E7C68"/>
    <w:rsid w:val="004F00BD"/>
    <w:rsid w:val="004F7602"/>
    <w:rsid w:val="00515238"/>
    <w:rsid w:val="005155C8"/>
    <w:rsid w:val="00515CBD"/>
    <w:rsid w:val="0052025C"/>
    <w:rsid w:val="0052035E"/>
    <w:rsid w:val="00521915"/>
    <w:rsid w:val="00525353"/>
    <w:rsid w:val="005255D6"/>
    <w:rsid w:val="00525D83"/>
    <w:rsid w:val="00525E8F"/>
    <w:rsid w:val="005300D0"/>
    <w:rsid w:val="00530439"/>
    <w:rsid w:val="005308D0"/>
    <w:rsid w:val="00530E7B"/>
    <w:rsid w:val="00530EFA"/>
    <w:rsid w:val="00530FB2"/>
    <w:rsid w:val="005354D0"/>
    <w:rsid w:val="0053726E"/>
    <w:rsid w:val="005378F7"/>
    <w:rsid w:val="00544298"/>
    <w:rsid w:val="00544CAD"/>
    <w:rsid w:val="0054590F"/>
    <w:rsid w:val="005534E4"/>
    <w:rsid w:val="00553BE5"/>
    <w:rsid w:val="00556CC9"/>
    <w:rsid w:val="00560CCD"/>
    <w:rsid w:val="00561119"/>
    <w:rsid w:val="00561EE2"/>
    <w:rsid w:val="005661F5"/>
    <w:rsid w:val="00570826"/>
    <w:rsid w:val="005718B5"/>
    <w:rsid w:val="00571B53"/>
    <w:rsid w:val="00576746"/>
    <w:rsid w:val="00577A02"/>
    <w:rsid w:val="005808FB"/>
    <w:rsid w:val="005813FE"/>
    <w:rsid w:val="00587B0D"/>
    <w:rsid w:val="0059016D"/>
    <w:rsid w:val="005918B7"/>
    <w:rsid w:val="0059320F"/>
    <w:rsid w:val="00594CCD"/>
    <w:rsid w:val="00595104"/>
    <w:rsid w:val="005A0162"/>
    <w:rsid w:val="005A34DF"/>
    <w:rsid w:val="005B13A9"/>
    <w:rsid w:val="005B1AE1"/>
    <w:rsid w:val="005B3F67"/>
    <w:rsid w:val="005B4870"/>
    <w:rsid w:val="005B60FD"/>
    <w:rsid w:val="005C30AC"/>
    <w:rsid w:val="005C4733"/>
    <w:rsid w:val="005C4CB8"/>
    <w:rsid w:val="005C4DBD"/>
    <w:rsid w:val="005D1119"/>
    <w:rsid w:val="005D6791"/>
    <w:rsid w:val="005D6EF5"/>
    <w:rsid w:val="005D7C56"/>
    <w:rsid w:val="005E0018"/>
    <w:rsid w:val="005E0AD9"/>
    <w:rsid w:val="005E0EC3"/>
    <w:rsid w:val="005E3A10"/>
    <w:rsid w:val="005E44E4"/>
    <w:rsid w:val="005E4674"/>
    <w:rsid w:val="005E4706"/>
    <w:rsid w:val="005E5522"/>
    <w:rsid w:val="005E6295"/>
    <w:rsid w:val="005E7509"/>
    <w:rsid w:val="005F3067"/>
    <w:rsid w:val="005F30E5"/>
    <w:rsid w:val="005F3293"/>
    <w:rsid w:val="005F54F1"/>
    <w:rsid w:val="005F5F06"/>
    <w:rsid w:val="00600637"/>
    <w:rsid w:val="00602412"/>
    <w:rsid w:val="00603642"/>
    <w:rsid w:val="00603DCC"/>
    <w:rsid w:val="00605943"/>
    <w:rsid w:val="006069BA"/>
    <w:rsid w:val="0061014B"/>
    <w:rsid w:val="00611E90"/>
    <w:rsid w:val="00612BC3"/>
    <w:rsid w:val="0062007D"/>
    <w:rsid w:val="006222A2"/>
    <w:rsid w:val="00623A99"/>
    <w:rsid w:val="006240E1"/>
    <w:rsid w:val="006242AB"/>
    <w:rsid w:val="0062479E"/>
    <w:rsid w:val="00625425"/>
    <w:rsid w:val="00630A2C"/>
    <w:rsid w:val="006340F5"/>
    <w:rsid w:val="006344AC"/>
    <w:rsid w:val="00637B72"/>
    <w:rsid w:val="0064222B"/>
    <w:rsid w:val="006433BA"/>
    <w:rsid w:val="00643CDB"/>
    <w:rsid w:val="0065358C"/>
    <w:rsid w:val="00654FA2"/>
    <w:rsid w:val="00655044"/>
    <w:rsid w:val="00655C29"/>
    <w:rsid w:val="00660E65"/>
    <w:rsid w:val="00661E25"/>
    <w:rsid w:val="006633C7"/>
    <w:rsid w:val="006633CE"/>
    <w:rsid w:val="00670F17"/>
    <w:rsid w:val="00673E50"/>
    <w:rsid w:val="00676CC4"/>
    <w:rsid w:val="00677491"/>
    <w:rsid w:val="00677C22"/>
    <w:rsid w:val="00681DD0"/>
    <w:rsid w:val="0068735C"/>
    <w:rsid w:val="00687923"/>
    <w:rsid w:val="006909EA"/>
    <w:rsid w:val="00690DE0"/>
    <w:rsid w:val="00691A04"/>
    <w:rsid w:val="00696A83"/>
    <w:rsid w:val="00697361"/>
    <w:rsid w:val="006A0E09"/>
    <w:rsid w:val="006A19EC"/>
    <w:rsid w:val="006A317B"/>
    <w:rsid w:val="006A3A7A"/>
    <w:rsid w:val="006A4ADD"/>
    <w:rsid w:val="006A6FB1"/>
    <w:rsid w:val="006A74EC"/>
    <w:rsid w:val="006A77FE"/>
    <w:rsid w:val="006B58A7"/>
    <w:rsid w:val="006B7DA6"/>
    <w:rsid w:val="006C5594"/>
    <w:rsid w:val="006C5EFC"/>
    <w:rsid w:val="006D09BE"/>
    <w:rsid w:val="006D10D2"/>
    <w:rsid w:val="006D2493"/>
    <w:rsid w:val="006D2CA4"/>
    <w:rsid w:val="006D3696"/>
    <w:rsid w:val="006E1CAF"/>
    <w:rsid w:val="006E63A7"/>
    <w:rsid w:val="006E6FA2"/>
    <w:rsid w:val="006F057C"/>
    <w:rsid w:val="006F22DA"/>
    <w:rsid w:val="006F2EB3"/>
    <w:rsid w:val="006F382F"/>
    <w:rsid w:val="006F3C68"/>
    <w:rsid w:val="006F72C6"/>
    <w:rsid w:val="0070209A"/>
    <w:rsid w:val="007031A1"/>
    <w:rsid w:val="00703881"/>
    <w:rsid w:val="00704090"/>
    <w:rsid w:val="007138C6"/>
    <w:rsid w:val="00714BEE"/>
    <w:rsid w:val="00715E68"/>
    <w:rsid w:val="00716449"/>
    <w:rsid w:val="00717FA9"/>
    <w:rsid w:val="00720057"/>
    <w:rsid w:val="00721215"/>
    <w:rsid w:val="00721524"/>
    <w:rsid w:val="00723B7F"/>
    <w:rsid w:val="00726707"/>
    <w:rsid w:val="007267D1"/>
    <w:rsid w:val="00741AEB"/>
    <w:rsid w:val="00742521"/>
    <w:rsid w:val="00742D55"/>
    <w:rsid w:val="00743A86"/>
    <w:rsid w:val="00745CEB"/>
    <w:rsid w:val="007475D5"/>
    <w:rsid w:val="007505D5"/>
    <w:rsid w:val="00751215"/>
    <w:rsid w:val="00754F76"/>
    <w:rsid w:val="00755442"/>
    <w:rsid w:val="007573C2"/>
    <w:rsid w:val="00757FEA"/>
    <w:rsid w:val="00760D1F"/>
    <w:rsid w:val="00761C02"/>
    <w:rsid w:val="007635E6"/>
    <w:rsid w:val="0077599C"/>
    <w:rsid w:val="00776803"/>
    <w:rsid w:val="00782A49"/>
    <w:rsid w:val="00790694"/>
    <w:rsid w:val="00791192"/>
    <w:rsid w:val="0079338C"/>
    <w:rsid w:val="00797818"/>
    <w:rsid w:val="00797973"/>
    <w:rsid w:val="007A2234"/>
    <w:rsid w:val="007A7003"/>
    <w:rsid w:val="007A771B"/>
    <w:rsid w:val="007B033B"/>
    <w:rsid w:val="007B21A2"/>
    <w:rsid w:val="007B23FC"/>
    <w:rsid w:val="007B64C2"/>
    <w:rsid w:val="007B7826"/>
    <w:rsid w:val="007C4B86"/>
    <w:rsid w:val="007D0C1D"/>
    <w:rsid w:val="007D1D99"/>
    <w:rsid w:val="007D20C7"/>
    <w:rsid w:val="007D27B7"/>
    <w:rsid w:val="007D291B"/>
    <w:rsid w:val="007D338D"/>
    <w:rsid w:val="007D49A3"/>
    <w:rsid w:val="007D4DBF"/>
    <w:rsid w:val="007E02C9"/>
    <w:rsid w:val="007E2BC4"/>
    <w:rsid w:val="007E2E17"/>
    <w:rsid w:val="007E4580"/>
    <w:rsid w:val="007E4732"/>
    <w:rsid w:val="007E4FBF"/>
    <w:rsid w:val="007E5AE7"/>
    <w:rsid w:val="007E5D3E"/>
    <w:rsid w:val="007E71BD"/>
    <w:rsid w:val="007F004E"/>
    <w:rsid w:val="007F7B31"/>
    <w:rsid w:val="008009C5"/>
    <w:rsid w:val="00800D19"/>
    <w:rsid w:val="00801910"/>
    <w:rsid w:val="00801D35"/>
    <w:rsid w:val="00803730"/>
    <w:rsid w:val="008076EC"/>
    <w:rsid w:val="0081219E"/>
    <w:rsid w:val="00812901"/>
    <w:rsid w:val="008157BA"/>
    <w:rsid w:val="00816135"/>
    <w:rsid w:val="008203D5"/>
    <w:rsid w:val="00820F6B"/>
    <w:rsid w:val="00822F16"/>
    <w:rsid w:val="00824451"/>
    <w:rsid w:val="00824C92"/>
    <w:rsid w:val="00825FE0"/>
    <w:rsid w:val="00826B9A"/>
    <w:rsid w:val="00827664"/>
    <w:rsid w:val="00827E32"/>
    <w:rsid w:val="0083326E"/>
    <w:rsid w:val="008343D1"/>
    <w:rsid w:val="00835EA0"/>
    <w:rsid w:val="00837AE7"/>
    <w:rsid w:val="00837EC2"/>
    <w:rsid w:val="008442CB"/>
    <w:rsid w:val="00850216"/>
    <w:rsid w:val="008544F4"/>
    <w:rsid w:val="00855CBB"/>
    <w:rsid w:val="008563A7"/>
    <w:rsid w:val="00856840"/>
    <w:rsid w:val="0085727D"/>
    <w:rsid w:val="00860227"/>
    <w:rsid w:val="008615DF"/>
    <w:rsid w:val="00872505"/>
    <w:rsid w:val="008753CD"/>
    <w:rsid w:val="00880BB3"/>
    <w:rsid w:val="00885435"/>
    <w:rsid w:val="00891E0A"/>
    <w:rsid w:val="00892ABA"/>
    <w:rsid w:val="008957C2"/>
    <w:rsid w:val="00896190"/>
    <w:rsid w:val="008A0032"/>
    <w:rsid w:val="008A4A38"/>
    <w:rsid w:val="008A73C4"/>
    <w:rsid w:val="008B25B2"/>
    <w:rsid w:val="008C179D"/>
    <w:rsid w:val="008D06CF"/>
    <w:rsid w:val="008D213B"/>
    <w:rsid w:val="008D4240"/>
    <w:rsid w:val="008D4ADA"/>
    <w:rsid w:val="008D5C78"/>
    <w:rsid w:val="008D67D6"/>
    <w:rsid w:val="008E1C20"/>
    <w:rsid w:val="008E2188"/>
    <w:rsid w:val="008E224D"/>
    <w:rsid w:val="008E2A4B"/>
    <w:rsid w:val="008E4AE1"/>
    <w:rsid w:val="008F099E"/>
    <w:rsid w:val="008F1D65"/>
    <w:rsid w:val="008F21C7"/>
    <w:rsid w:val="008F233C"/>
    <w:rsid w:val="0090344B"/>
    <w:rsid w:val="00903C1B"/>
    <w:rsid w:val="0090499D"/>
    <w:rsid w:val="009058F2"/>
    <w:rsid w:val="00907203"/>
    <w:rsid w:val="00910D0D"/>
    <w:rsid w:val="00920AC4"/>
    <w:rsid w:val="00921D48"/>
    <w:rsid w:val="009232E6"/>
    <w:rsid w:val="0092362F"/>
    <w:rsid w:val="0092620D"/>
    <w:rsid w:val="009301E1"/>
    <w:rsid w:val="00935F3A"/>
    <w:rsid w:val="00937C70"/>
    <w:rsid w:val="00945BD6"/>
    <w:rsid w:val="009464B2"/>
    <w:rsid w:val="009464CF"/>
    <w:rsid w:val="00950098"/>
    <w:rsid w:val="00950B0F"/>
    <w:rsid w:val="00952604"/>
    <w:rsid w:val="00952A57"/>
    <w:rsid w:val="00953298"/>
    <w:rsid w:val="00953AB1"/>
    <w:rsid w:val="00953CD0"/>
    <w:rsid w:val="00954EF4"/>
    <w:rsid w:val="0095526E"/>
    <w:rsid w:val="00956888"/>
    <w:rsid w:val="00957198"/>
    <w:rsid w:val="00957A93"/>
    <w:rsid w:val="0096354E"/>
    <w:rsid w:val="0096570D"/>
    <w:rsid w:val="00965ABD"/>
    <w:rsid w:val="00966A35"/>
    <w:rsid w:val="00967408"/>
    <w:rsid w:val="00972F70"/>
    <w:rsid w:val="00974AA7"/>
    <w:rsid w:val="00975720"/>
    <w:rsid w:val="009759D8"/>
    <w:rsid w:val="009806E7"/>
    <w:rsid w:val="009844BC"/>
    <w:rsid w:val="00987A2E"/>
    <w:rsid w:val="00987EA7"/>
    <w:rsid w:val="00990E9C"/>
    <w:rsid w:val="00991302"/>
    <w:rsid w:val="0099329D"/>
    <w:rsid w:val="00996F05"/>
    <w:rsid w:val="00997BE2"/>
    <w:rsid w:val="009A4A4D"/>
    <w:rsid w:val="009B160B"/>
    <w:rsid w:val="009B18B5"/>
    <w:rsid w:val="009C02BB"/>
    <w:rsid w:val="009C512C"/>
    <w:rsid w:val="009D1039"/>
    <w:rsid w:val="009D4A01"/>
    <w:rsid w:val="009D4C10"/>
    <w:rsid w:val="009E22B0"/>
    <w:rsid w:val="009E3F49"/>
    <w:rsid w:val="009E5176"/>
    <w:rsid w:val="009E5B1B"/>
    <w:rsid w:val="009E708C"/>
    <w:rsid w:val="009E7FE2"/>
    <w:rsid w:val="009F1CB6"/>
    <w:rsid w:val="009F2B80"/>
    <w:rsid w:val="009F2E4F"/>
    <w:rsid w:val="009F5F40"/>
    <w:rsid w:val="00A00233"/>
    <w:rsid w:val="00A00952"/>
    <w:rsid w:val="00A00CBF"/>
    <w:rsid w:val="00A03C12"/>
    <w:rsid w:val="00A07300"/>
    <w:rsid w:val="00A10BDE"/>
    <w:rsid w:val="00A14F45"/>
    <w:rsid w:val="00A156F0"/>
    <w:rsid w:val="00A17813"/>
    <w:rsid w:val="00A20113"/>
    <w:rsid w:val="00A218B0"/>
    <w:rsid w:val="00A22839"/>
    <w:rsid w:val="00A2335D"/>
    <w:rsid w:val="00A31DC0"/>
    <w:rsid w:val="00A323D9"/>
    <w:rsid w:val="00A33185"/>
    <w:rsid w:val="00A33D03"/>
    <w:rsid w:val="00A34F3C"/>
    <w:rsid w:val="00A35188"/>
    <w:rsid w:val="00A367E0"/>
    <w:rsid w:val="00A37054"/>
    <w:rsid w:val="00A50259"/>
    <w:rsid w:val="00A50565"/>
    <w:rsid w:val="00A51DA2"/>
    <w:rsid w:val="00A52D69"/>
    <w:rsid w:val="00A533C8"/>
    <w:rsid w:val="00A53B04"/>
    <w:rsid w:val="00A55425"/>
    <w:rsid w:val="00A57770"/>
    <w:rsid w:val="00A64789"/>
    <w:rsid w:val="00A712E8"/>
    <w:rsid w:val="00A72152"/>
    <w:rsid w:val="00A7271A"/>
    <w:rsid w:val="00A76D41"/>
    <w:rsid w:val="00A774A7"/>
    <w:rsid w:val="00A77B8F"/>
    <w:rsid w:val="00A81CE0"/>
    <w:rsid w:val="00A83A77"/>
    <w:rsid w:val="00A83B2B"/>
    <w:rsid w:val="00A85FA8"/>
    <w:rsid w:val="00A87FA4"/>
    <w:rsid w:val="00A925C6"/>
    <w:rsid w:val="00A926C9"/>
    <w:rsid w:val="00A92E5B"/>
    <w:rsid w:val="00A969AA"/>
    <w:rsid w:val="00AA2609"/>
    <w:rsid w:val="00AA383D"/>
    <w:rsid w:val="00AA4AD6"/>
    <w:rsid w:val="00AA6185"/>
    <w:rsid w:val="00AA7F02"/>
    <w:rsid w:val="00AB4C90"/>
    <w:rsid w:val="00AB61C6"/>
    <w:rsid w:val="00AB795F"/>
    <w:rsid w:val="00AC0BB3"/>
    <w:rsid w:val="00AC20C2"/>
    <w:rsid w:val="00AC26D4"/>
    <w:rsid w:val="00AC2BAA"/>
    <w:rsid w:val="00AC44E8"/>
    <w:rsid w:val="00AC55F8"/>
    <w:rsid w:val="00AC6312"/>
    <w:rsid w:val="00AD2288"/>
    <w:rsid w:val="00AD2795"/>
    <w:rsid w:val="00AD51B1"/>
    <w:rsid w:val="00AD5506"/>
    <w:rsid w:val="00AD6E03"/>
    <w:rsid w:val="00AD73E5"/>
    <w:rsid w:val="00AD7B51"/>
    <w:rsid w:val="00AE3ADC"/>
    <w:rsid w:val="00AE517F"/>
    <w:rsid w:val="00AF0CA6"/>
    <w:rsid w:val="00AF1127"/>
    <w:rsid w:val="00AF135A"/>
    <w:rsid w:val="00AF2B2C"/>
    <w:rsid w:val="00AF438A"/>
    <w:rsid w:val="00AF598E"/>
    <w:rsid w:val="00AF641A"/>
    <w:rsid w:val="00AF6757"/>
    <w:rsid w:val="00AF6F1B"/>
    <w:rsid w:val="00B0165A"/>
    <w:rsid w:val="00B01AAD"/>
    <w:rsid w:val="00B1160D"/>
    <w:rsid w:val="00B125B1"/>
    <w:rsid w:val="00B13A91"/>
    <w:rsid w:val="00B15848"/>
    <w:rsid w:val="00B16263"/>
    <w:rsid w:val="00B16765"/>
    <w:rsid w:val="00B24B8E"/>
    <w:rsid w:val="00B24FC0"/>
    <w:rsid w:val="00B25D53"/>
    <w:rsid w:val="00B2735F"/>
    <w:rsid w:val="00B302F8"/>
    <w:rsid w:val="00B30899"/>
    <w:rsid w:val="00B35477"/>
    <w:rsid w:val="00B35F50"/>
    <w:rsid w:val="00B37595"/>
    <w:rsid w:val="00B40839"/>
    <w:rsid w:val="00B40EB7"/>
    <w:rsid w:val="00B42144"/>
    <w:rsid w:val="00B427A7"/>
    <w:rsid w:val="00B51F06"/>
    <w:rsid w:val="00B53EFF"/>
    <w:rsid w:val="00B54070"/>
    <w:rsid w:val="00B54AFA"/>
    <w:rsid w:val="00B57AF0"/>
    <w:rsid w:val="00B628F4"/>
    <w:rsid w:val="00B63C98"/>
    <w:rsid w:val="00B669C0"/>
    <w:rsid w:val="00B672AF"/>
    <w:rsid w:val="00B75106"/>
    <w:rsid w:val="00B76426"/>
    <w:rsid w:val="00B804E8"/>
    <w:rsid w:val="00B808B3"/>
    <w:rsid w:val="00B832BF"/>
    <w:rsid w:val="00B842A2"/>
    <w:rsid w:val="00B860EA"/>
    <w:rsid w:val="00B87DA1"/>
    <w:rsid w:val="00B91C30"/>
    <w:rsid w:val="00B95775"/>
    <w:rsid w:val="00B972D9"/>
    <w:rsid w:val="00BA2F19"/>
    <w:rsid w:val="00BA32FF"/>
    <w:rsid w:val="00BA3AB5"/>
    <w:rsid w:val="00BA3E2F"/>
    <w:rsid w:val="00BA442A"/>
    <w:rsid w:val="00BB7370"/>
    <w:rsid w:val="00BC206C"/>
    <w:rsid w:val="00BC33D6"/>
    <w:rsid w:val="00BD1EA7"/>
    <w:rsid w:val="00BD22E6"/>
    <w:rsid w:val="00BD2623"/>
    <w:rsid w:val="00BD596A"/>
    <w:rsid w:val="00BD6EA7"/>
    <w:rsid w:val="00BE1DDA"/>
    <w:rsid w:val="00BE36D5"/>
    <w:rsid w:val="00BE6C73"/>
    <w:rsid w:val="00BF2B08"/>
    <w:rsid w:val="00C01A35"/>
    <w:rsid w:val="00C02C5E"/>
    <w:rsid w:val="00C035F4"/>
    <w:rsid w:val="00C17791"/>
    <w:rsid w:val="00C2099F"/>
    <w:rsid w:val="00C219D6"/>
    <w:rsid w:val="00C22A38"/>
    <w:rsid w:val="00C232D8"/>
    <w:rsid w:val="00C24AE1"/>
    <w:rsid w:val="00C35CCA"/>
    <w:rsid w:val="00C36E25"/>
    <w:rsid w:val="00C36F0F"/>
    <w:rsid w:val="00C400BC"/>
    <w:rsid w:val="00C40FC9"/>
    <w:rsid w:val="00C43C44"/>
    <w:rsid w:val="00C52CAA"/>
    <w:rsid w:val="00C541A8"/>
    <w:rsid w:val="00C57267"/>
    <w:rsid w:val="00C60D02"/>
    <w:rsid w:val="00C6530C"/>
    <w:rsid w:val="00C700D5"/>
    <w:rsid w:val="00C70F96"/>
    <w:rsid w:val="00C71B6A"/>
    <w:rsid w:val="00C736CB"/>
    <w:rsid w:val="00C740B0"/>
    <w:rsid w:val="00C76666"/>
    <w:rsid w:val="00C801D4"/>
    <w:rsid w:val="00C81947"/>
    <w:rsid w:val="00C83EFD"/>
    <w:rsid w:val="00C858E4"/>
    <w:rsid w:val="00C85CF6"/>
    <w:rsid w:val="00C85D12"/>
    <w:rsid w:val="00C90A80"/>
    <w:rsid w:val="00C93368"/>
    <w:rsid w:val="00C93BE1"/>
    <w:rsid w:val="00CA050A"/>
    <w:rsid w:val="00CA3A0F"/>
    <w:rsid w:val="00CA60A9"/>
    <w:rsid w:val="00CA6707"/>
    <w:rsid w:val="00CB1A89"/>
    <w:rsid w:val="00CB2851"/>
    <w:rsid w:val="00CB3146"/>
    <w:rsid w:val="00CB4134"/>
    <w:rsid w:val="00CB7520"/>
    <w:rsid w:val="00CC41DA"/>
    <w:rsid w:val="00CC4B55"/>
    <w:rsid w:val="00CD0219"/>
    <w:rsid w:val="00CD2BB1"/>
    <w:rsid w:val="00CE10BA"/>
    <w:rsid w:val="00CE1C9A"/>
    <w:rsid w:val="00CE2818"/>
    <w:rsid w:val="00CE38D4"/>
    <w:rsid w:val="00CE4779"/>
    <w:rsid w:val="00CE4AD3"/>
    <w:rsid w:val="00CE5E50"/>
    <w:rsid w:val="00CE77A2"/>
    <w:rsid w:val="00CF0FC4"/>
    <w:rsid w:val="00CF1B0C"/>
    <w:rsid w:val="00CF3C3D"/>
    <w:rsid w:val="00CF4A50"/>
    <w:rsid w:val="00CF68B3"/>
    <w:rsid w:val="00CF6932"/>
    <w:rsid w:val="00D01625"/>
    <w:rsid w:val="00D0359B"/>
    <w:rsid w:val="00D04D30"/>
    <w:rsid w:val="00D068D3"/>
    <w:rsid w:val="00D07576"/>
    <w:rsid w:val="00D10C04"/>
    <w:rsid w:val="00D164AF"/>
    <w:rsid w:val="00D17B17"/>
    <w:rsid w:val="00D236CE"/>
    <w:rsid w:val="00D23D0E"/>
    <w:rsid w:val="00D258AC"/>
    <w:rsid w:val="00D26F3A"/>
    <w:rsid w:val="00D27440"/>
    <w:rsid w:val="00D32187"/>
    <w:rsid w:val="00D325FE"/>
    <w:rsid w:val="00D33D13"/>
    <w:rsid w:val="00D341B1"/>
    <w:rsid w:val="00D345A4"/>
    <w:rsid w:val="00D37F2F"/>
    <w:rsid w:val="00D42F5C"/>
    <w:rsid w:val="00D44E09"/>
    <w:rsid w:val="00D52D46"/>
    <w:rsid w:val="00D575A8"/>
    <w:rsid w:val="00D57782"/>
    <w:rsid w:val="00D60230"/>
    <w:rsid w:val="00D6091A"/>
    <w:rsid w:val="00D63890"/>
    <w:rsid w:val="00D645B0"/>
    <w:rsid w:val="00D64B01"/>
    <w:rsid w:val="00D709CF"/>
    <w:rsid w:val="00D70E24"/>
    <w:rsid w:val="00D71336"/>
    <w:rsid w:val="00D72315"/>
    <w:rsid w:val="00D73C5B"/>
    <w:rsid w:val="00D74E6F"/>
    <w:rsid w:val="00D74F9F"/>
    <w:rsid w:val="00D75528"/>
    <w:rsid w:val="00D77527"/>
    <w:rsid w:val="00D77E63"/>
    <w:rsid w:val="00D80B11"/>
    <w:rsid w:val="00D81219"/>
    <w:rsid w:val="00D835CF"/>
    <w:rsid w:val="00D87C56"/>
    <w:rsid w:val="00D90114"/>
    <w:rsid w:val="00D9410F"/>
    <w:rsid w:val="00D94CFB"/>
    <w:rsid w:val="00DA15A8"/>
    <w:rsid w:val="00DA26FB"/>
    <w:rsid w:val="00DA516D"/>
    <w:rsid w:val="00DA71C3"/>
    <w:rsid w:val="00DA79D7"/>
    <w:rsid w:val="00DA7A68"/>
    <w:rsid w:val="00DB0FDF"/>
    <w:rsid w:val="00DB20A2"/>
    <w:rsid w:val="00DB3161"/>
    <w:rsid w:val="00DB4DB4"/>
    <w:rsid w:val="00DB69D1"/>
    <w:rsid w:val="00DB6C3D"/>
    <w:rsid w:val="00DB7BED"/>
    <w:rsid w:val="00DC01E7"/>
    <w:rsid w:val="00DC128E"/>
    <w:rsid w:val="00DC2166"/>
    <w:rsid w:val="00DC5ACF"/>
    <w:rsid w:val="00DC5AEC"/>
    <w:rsid w:val="00DC6BE7"/>
    <w:rsid w:val="00DC76F0"/>
    <w:rsid w:val="00DD0380"/>
    <w:rsid w:val="00DD0511"/>
    <w:rsid w:val="00DD1DE4"/>
    <w:rsid w:val="00DD3A49"/>
    <w:rsid w:val="00DD6AC4"/>
    <w:rsid w:val="00DE030F"/>
    <w:rsid w:val="00DE0509"/>
    <w:rsid w:val="00DE1242"/>
    <w:rsid w:val="00DE2DFD"/>
    <w:rsid w:val="00DE5AED"/>
    <w:rsid w:val="00DE71D3"/>
    <w:rsid w:val="00DF041B"/>
    <w:rsid w:val="00DF08A0"/>
    <w:rsid w:val="00DF1633"/>
    <w:rsid w:val="00DF7785"/>
    <w:rsid w:val="00E121EB"/>
    <w:rsid w:val="00E13D48"/>
    <w:rsid w:val="00E204CF"/>
    <w:rsid w:val="00E20900"/>
    <w:rsid w:val="00E20DFD"/>
    <w:rsid w:val="00E2312A"/>
    <w:rsid w:val="00E23241"/>
    <w:rsid w:val="00E245ED"/>
    <w:rsid w:val="00E35125"/>
    <w:rsid w:val="00E35A9A"/>
    <w:rsid w:val="00E36ECB"/>
    <w:rsid w:val="00E409A4"/>
    <w:rsid w:val="00E4537B"/>
    <w:rsid w:val="00E45B58"/>
    <w:rsid w:val="00E45D9C"/>
    <w:rsid w:val="00E46742"/>
    <w:rsid w:val="00E51227"/>
    <w:rsid w:val="00E54720"/>
    <w:rsid w:val="00E54FB7"/>
    <w:rsid w:val="00E614EA"/>
    <w:rsid w:val="00E634A6"/>
    <w:rsid w:val="00E6369A"/>
    <w:rsid w:val="00E63A6F"/>
    <w:rsid w:val="00E63ECB"/>
    <w:rsid w:val="00E6414C"/>
    <w:rsid w:val="00E66211"/>
    <w:rsid w:val="00E662CB"/>
    <w:rsid w:val="00E70285"/>
    <w:rsid w:val="00E73C8D"/>
    <w:rsid w:val="00E77F63"/>
    <w:rsid w:val="00E81CDB"/>
    <w:rsid w:val="00E82FDF"/>
    <w:rsid w:val="00E836A2"/>
    <w:rsid w:val="00E871FD"/>
    <w:rsid w:val="00E9008D"/>
    <w:rsid w:val="00E9195A"/>
    <w:rsid w:val="00EA0157"/>
    <w:rsid w:val="00EA240F"/>
    <w:rsid w:val="00EA341D"/>
    <w:rsid w:val="00EA3FC6"/>
    <w:rsid w:val="00EA628D"/>
    <w:rsid w:val="00EA6835"/>
    <w:rsid w:val="00EA7740"/>
    <w:rsid w:val="00EB2DA7"/>
    <w:rsid w:val="00EB4273"/>
    <w:rsid w:val="00EB4D15"/>
    <w:rsid w:val="00EB5E57"/>
    <w:rsid w:val="00EB6D76"/>
    <w:rsid w:val="00EC0063"/>
    <w:rsid w:val="00ED1B32"/>
    <w:rsid w:val="00ED24BB"/>
    <w:rsid w:val="00ED2651"/>
    <w:rsid w:val="00ED300C"/>
    <w:rsid w:val="00ED30C9"/>
    <w:rsid w:val="00ED6420"/>
    <w:rsid w:val="00ED6C9E"/>
    <w:rsid w:val="00EE65BB"/>
    <w:rsid w:val="00EF3E22"/>
    <w:rsid w:val="00EF6A6A"/>
    <w:rsid w:val="00EF71A0"/>
    <w:rsid w:val="00F005D1"/>
    <w:rsid w:val="00F01D48"/>
    <w:rsid w:val="00F04E04"/>
    <w:rsid w:val="00F06855"/>
    <w:rsid w:val="00F0774E"/>
    <w:rsid w:val="00F126D7"/>
    <w:rsid w:val="00F13EF5"/>
    <w:rsid w:val="00F13FA8"/>
    <w:rsid w:val="00F164AA"/>
    <w:rsid w:val="00F27386"/>
    <w:rsid w:val="00F277FB"/>
    <w:rsid w:val="00F31003"/>
    <w:rsid w:val="00F349A6"/>
    <w:rsid w:val="00F3582A"/>
    <w:rsid w:val="00F42849"/>
    <w:rsid w:val="00F43333"/>
    <w:rsid w:val="00F433A0"/>
    <w:rsid w:val="00F43911"/>
    <w:rsid w:val="00F4466E"/>
    <w:rsid w:val="00F528C7"/>
    <w:rsid w:val="00F55A32"/>
    <w:rsid w:val="00F5649A"/>
    <w:rsid w:val="00F63C15"/>
    <w:rsid w:val="00F650D7"/>
    <w:rsid w:val="00F71339"/>
    <w:rsid w:val="00F71F33"/>
    <w:rsid w:val="00F77E61"/>
    <w:rsid w:val="00F82342"/>
    <w:rsid w:val="00F84AB5"/>
    <w:rsid w:val="00F84DDA"/>
    <w:rsid w:val="00F84EA8"/>
    <w:rsid w:val="00F85627"/>
    <w:rsid w:val="00F86C1B"/>
    <w:rsid w:val="00F91AE4"/>
    <w:rsid w:val="00F9680A"/>
    <w:rsid w:val="00F97476"/>
    <w:rsid w:val="00FA1127"/>
    <w:rsid w:val="00FA1523"/>
    <w:rsid w:val="00FA3412"/>
    <w:rsid w:val="00FA3CAE"/>
    <w:rsid w:val="00FA49B5"/>
    <w:rsid w:val="00FA5D52"/>
    <w:rsid w:val="00FA683C"/>
    <w:rsid w:val="00FB1231"/>
    <w:rsid w:val="00FB15BC"/>
    <w:rsid w:val="00FB1C9E"/>
    <w:rsid w:val="00FB466B"/>
    <w:rsid w:val="00FB5786"/>
    <w:rsid w:val="00FB5C5B"/>
    <w:rsid w:val="00FB7541"/>
    <w:rsid w:val="00FB7C1F"/>
    <w:rsid w:val="00FC2412"/>
    <w:rsid w:val="00FC3E85"/>
    <w:rsid w:val="00FC5307"/>
    <w:rsid w:val="00FD1466"/>
    <w:rsid w:val="00FD1A9C"/>
    <w:rsid w:val="00FD633E"/>
    <w:rsid w:val="00FD7191"/>
    <w:rsid w:val="00FE0B00"/>
    <w:rsid w:val="00FE17E2"/>
    <w:rsid w:val="00FE6146"/>
    <w:rsid w:val="00FF095F"/>
    <w:rsid w:val="00FF0AF3"/>
    <w:rsid w:val="00FF170C"/>
    <w:rsid w:val="00FF3668"/>
    <w:rsid w:val="00FF4967"/>
    <w:rsid w:val="00FF509C"/>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6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CAD"/>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CAD"/>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30808353">
      <w:bodyDiv w:val="1"/>
      <w:marLeft w:val="0"/>
      <w:marRight w:val="0"/>
      <w:marTop w:val="0"/>
      <w:marBottom w:val="0"/>
      <w:divBdr>
        <w:top w:val="none" w:sz="0" w:space="0" w:color="auto"/>
        <w:left w:val="none" w:sz="0" w:space="0" w:color="auto"/>
        <w:bottom w:val="none" w:sz="0" w:space="0" w:color="auto"/>
        <w:right w:val="none" w:sz="0" w:space="0" w:color="auto"/>
      </w:divBdr>
    </w:div>
    <w:div w:id="49160106">
      <w:bodyDiv w:val="1"/>
      <w:marLeft w:val="0"/>
      <w:marRight w:val="0"/>
      <w:marTop w:val="0"/>
      <w:marBottom w:val="0"/>
      <w:divBdr>
        <w:top w:val="none" w:sz="0" w:space="0" w:color="auto"/>
        <w:left w:val="none" w:sz="0" w:space="0" w:color="auto"/>
        <w:bottom w:val="none" w:sz="0" w:space="0" w:color="auto"/>
        <w:right w:val="none" w:sz="0" w:space="0" w:color="auto"/>
      </w:divBdr>
    </w:div>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8210410">
      <w:bodyDiv w:val="1"/>
      <w:marLeft w:val="0"/>
      <w:marRight w:val="0"/>
      <w:marTop w:val="0"/>
      <w:marBottom w:val="0"/>
      <w:divBdr>
        <w:top w:val="none" w:sz="0" w:space="0" w:color="auto"/>
        <w:left w:val="none" w:sz="0" w:space="0" w:color="auto"/>
        <w:bottom w:val="none" w:sz="0" w:space="0" w:color="auto"/>
        <w:right w:val="none" w:sz="0" w:space="0" w:color="auto"/>
      </w:divBdr>
    </w:div>
    <w:div w:id="107049033">
      <w:bodyDiv w:val="1"/>
      <w:marLeft w:val="0"/>
      <w:marRight w:val="0"/>
      <w:marTop w:val="0"/>
      <w:marBottom w:val="0"/>
      <w:divBdr>
        <w:top w:val="none" w:sz="0" w:space="0" w:color="auto"/>
        <w:left w:val="none" w:sz="0" w:space="0" w:color="auto"/>
        <w:bottom w:val="none" w:sz="0" w:space="0" w:color="auto"/>
        <w:right w:val="none" w:sz="0" w:space="0" w:color="auto"/>
      </w:divBdr>
    </w:div>
    <w:div w:id="117378666">
      <w:bodyDiv w:val="1"/>
      <w:marLeft w:val="0"/>
      <w:marRight w:val="0"/>
      <w:marTop w:val="0"/>
      <w:marBottom w:val="0"/>
      <w:divBdr>
        <w:top w:val="none" w:sz="0" w:space="0" w:color="auto"/>
        <w:left w:val="none" w:sz="0" w:space="0" w:color="auto"/>
        <w:bottom w:val="none" w:sz="0" w:space="0" w:color="auto"/>
        <w:right w:val="none" w:sz="0" w:space="0" w:color="auto"/>
      </w:divBdr>
    </w:div>
    <w:div w:id="13310679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307631738">
      <w:bodyDiv w:val="1"/>
      <w:marLeft w:val="0"/>
      <w:marRight w:val="0"/>
      <w:marTop w:val="0"/>
      <w:marBottom w:val="0"/>
      <w:divBdr>
        <w:top w:val="none" w:sz="0" w:space="0" w:color="auto"/>
        <w:left w:val="none" w:sz="0" w:space="0" w:color="auto"/>
        <w:bottom w:val="none" w:sz="0" w:space="0" w:color="auto"/>
        <w:right w:val="none" w:sz="0" w:space="0" w:color="auto"/>
      </w:divBdr>
    </w:div>
    <w:div w:id="328993865">
      <w:bodyDiv w:val="1"/>
      <w:marLeft w:val="0"/>
      <w:marRight w:val="0"/>
      <w:marTop w:val="0"/>
      <w:marBottom w:val="0"/>
      <w:divBdr>
        <w:top w:val="none" w:sz="0" w:space="0" w:color="auto"/>
        <w:left w:val="none" w:sz="0" w:space="0" w:color="auto"/>
        <w:bottom w:val="none" w:sz="0" w:space="0" w:color="auto"/>
        <w:right w:val="none" w:sz="0" w:space="0" w:color="auto"/>
      </w:divBdr>
    </w:div>
    <w:div w:id="387068493">
      <w:bodyDiv w:val="1"/>
      <w:marLeft w:val="0"/>
      <w:marRight w:val="0"/>
      <w:marTop w:val="0"/>
      <w:marBottom w:val="0"/>
      <w:divBdr>
        <w:top w:val="none" w:sz="0" w:space="0" w:color="auto"/>
        <w:left w:val="none" w:sz="0" w:space="0" w:color="auto"/>
        <w:bottom w:val="none" w:sz="0" w:space="0" w:color="auto"/>
        <w:right w:val="none" w:sz="0" w:space="0" w:color="auto"/>
      </w:divBdr>
    </w:div>
    <w:div w:id="428282078">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514854331">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576522347">
      <w:bodyDiv w:val="1"/>
      <w:marLeft w:val="0"/>
      <w:marRight w:val="0"/>
      <w:marTop w:val="0"/>
      <w:marBottom w:val="0"/>
      <w:divBdr>
        <w:top w:val="none" w:sz="0" w:space="0" w:color="auto"/>
        <w:left w:val="none" w:sz="0" w:space="0" w:color="auto"/>
        <w:bottom w:val="none" w:sz="0" w:space="0" w:color="auto"/>
        <w:right w:val="none" w:sz="0" w:space="0" w:color="auto"/>
      </w:divBdr>
    </w:div>
    <w:div w:id="585725146">
      <w:bodyDiv w:val="1"/>
      <w:marLeft w:val="0"/>
      <w:marRight w:val="0"/>
      <w:marTop w:val="0"/>
      <w:marBottom w:val="0"/>
      <w:divBdr>
        <w:top w:val="none" w:sz="0" w:space="0" w:color="auto"/>
        <w:left w:val="none" w:sz="0" w:space="0" w:color="auto"/>
        <w:bottom w:val="none" w:sz="0" w:space="0" w:color="auto"/>
        <w:right w:val="none" w:sz="0" w:space="0" w:color="auto"/>
      </w:divBdr>
    </w:div>
    <w:div w:id="599871168">
      <w:bodyDiv w:val="1"/>
      <w:marLeft w:val="0"/>
      <w:marRight w:val="0"/>
      <w:marTop w:val="0"/>
      <w:marBottom w:val="0"/>
      <w:divBdr>
        <w:top w:val="none" w:sz="0" w:space="0" w:color="auto"/>
        <w:left w:val="none" w:sz="0" w:space="0" w:color="auto"/>
        <w:bottom w:val="none" w:sz="0" w:space="0" w:color="auto"/>
        <w:right w:val="none" w:sz="0" w:space="0" w:color="auto"/>
      </w:divBdr>
    </w:div>
    <w:div w:id="622003602">
      <w:bodyDiv w:val="1"/>
      <w:marLeft w:val="0"/>
      <w:marRight w:val="0"/>
      <w:marTop w:val="0"/>
      <w:marBottom w:val="0"/>
      <w:divBdr>
        <w:top w:val="none" w:sz="0" w:space="0" w:color="auto"/>
        <w:left w:val="none" w:sz="0" w:space="0" w:color="auto"/>
        <w:bottom w:val="none" w:sz="0" w:space="0" w:color="auto"/>
        <w:right w:val="none" w:sz="0" w:space="0" w:color="auto"/>
      </w:divBdr>
    </w:div>
    <w:div w:id="625818848">
      <w:bodyDiv w:val="1"/>
      <w:marLeft w:val="0"/>
      <w:marRight w:val="0"/>
      <w:marTop w:val="0"/>
      <w:marBottom w:val="0"/>
      <w:divBdr>
        <w:top w:val="none" w:sz="0" w:space="0" w:color="auto"/>
        <w:left w:val="none" w:sz="0" w:space="0" w:color="auto"/>
        <w:bottom w:val="none" w:sz="0" w:space="0" w:color="auto"/>
        <w:right w:val="none" w:sz="0" w:space="0" w:color="auto"/>
      </w:divBdr>
    </w:div>
    <w:div w:id="650015930">
      <w:bodyDiv w:val="1"/>
      <w:marLeft w:val="0"/>
      <w:marRight w:val="0"/>
      <w:marTop w:val="0"/>
      <w:marBottom w:val="0"/>
      <w:divBdr>
        <w:top w:val="none" w:sz="0" w:space="0" w:color="auto"/>
        <w:left w:val="none" w:sz="0" w:space="0" w:color="auto"/>
        <w:bottom w:val="none" w:sz="0" w:space="0" w:color="auto"/>
        <w:right w:val="none" w:sz="0" w:space="0" w:color="auto"/>
      </w:divBdr>
    </w:div>
    <w:div w:id="705176114">
      <w:bodyDiv w:val="1"/>
      <w:marLeft w:val="0"/>
      <w:marRight w:val="0"/>
      <w:marTop w:val="0"/>
      <w:marBottom w:val="0"/>
      <w:divBdr>
        <w:top w:val="none" w:sz="0" w:space="0" w:color="auto"/>
        <w:left w:val="none" w:sz="0" w:space="0" w:color="auto"/>
        <w:bottom w:val="none" w:sz="0" w:space="0" w:color="auto"/>
        <w:right w:val="none" w:sz="0" w:space="0" w:color="auto"/>
      </w:divBdr>
    </w:div>
    <w:div w:id="72714816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701017">
      <w:bodyDiv w:val="1"/>
      <w:marLeft w:val="0"/>
      <w:marRight w:val="0"/>
      <w:marTop w:val="0"/>
      <w:marBottom w:val="0"/>
      <w:divBdr>
        <w:top w:val="none" w:sz="0" w:space="0" w:color="auto"/>
        <w:left w:val="none" w:sz="0" w:space="0" w:color="auto"/>
        <w:bottom w:val="none" w:sz="0" w:space="0" w:color="auto"/>
        <w:right w:val="none" w:sz="0" w:space="0" w:color="auto"/>
      </w:divBdr>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4366769">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870073555">
      <w:bodyDiv w:val="1"/>
      <w:marLeft w:val="0"/>
      <w:marRight w:val="0"/>
      <w:marTop w:val="0"/>
      <w:marBottom w:val="0"/>
      <w:divBdr>
        <w:top w:val="none" w:sz="0" w:space="0" w:color="auto"/>
        <w:left w:val="none" w:sz="0" w:space="0" w:color="auto"/>
        <w:bottom w:val="none" w:sz="0" w:space="0" w:color="auto"/>
        <w:right w:val="none" w:sz="0" w:space="0" w:color="auto"/>
      </w:divBdr>
    </w:div>
    <w:div w:id="89215429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7420434">
      <w:bodyDiv w:val="1"/>
      <w:marLeft w:val="0"/>
      <w:marRight w:val="0"/>
      <w:marTop w:val="0"/>
      <w:marBottom w:val="0"/>
      <w:divBdr>
        <w:top w:val="none" w:sz="0" w:space="0" w:color="auto"/>
        <w:left w:val="none" w:sz="0" w:space="0" w:color="auto"/>
        <w:bottom w:val="none" w:sz="0" w:space="0" w:color="auto"/>
        <w:right w:val="none" w:sz="0" w:space="0" w:color="auto"/>
      </w:divBdr>
    </w:div>
    <w:div w:id="937564921">
      <w:bodyDiv w:val="1"/>
      <w:marLeft w:val="0"/>
      <w:marRight w:val="0"/>
      <w:marTop w:val="0"/>
      <w:marBottom w:val="0"/>
      <w:divBdr>
        <w:top w:val="none" w:sz="0" w:space="0" w:color="auto"/>
        <w:left w:val="none" w:sz="0" w:space="0" w:color="auto"/>
        <w:bottom w:val="none" w:sz="0" w:space="0" w:color="auto"/>
        <w:right w:val="none" w:sz="0" w:space="0" w:color="auto"/>
      </w:divBdr>
    </w:div>
    <w:div w:id="944456009">
      <w:bodyDiv w:val="1"/>
      <w:marLeft w:val="0"/>
      <w:marRight w:val="0"/>
      <w:marTop w:val="0"/>
      <w:marBottom w:val="0"/>
      <w:divBdr>
        <w:top w:val="none" w:sz="0" w:space="0" w:color="auto"/>
        <w:left w:val="none" w:sz="0" w:space="0" w:color="auto"/>
        <w:bottom w:val="none" w:sz="0" w:space="0" w:color="auto"/>
        <w:right w:val="none" w:sz="0" w:space="0" w:color="auto"/>
      </w:divBdr>
    </w:div>
    <w:div w:id="961233044">
      <w:bodyDiv w:val="1"/>
      <w:marLeft w:val="0"/>
      <w:marRight w:val="0"/>
      <w:marTop w:val="0"/>
      <w:marBottom w:val="0"/>
      <w:divBdr>
        <w:top w:val="none" w:sz="0" w:space="0" w:color="auto"/>
        <w:left w:val="none" w:sz="0" w:space="0" w:color="auto"/>
        <w:bottom w:val="none" w:sz="0" w:space="0" w:color="auto"/>
        <w:right w:val="none" w:sz="0" w:space="0" w:color="auto"/>
      </w:divBdr>
    </w:div>
    <w:div w:id="975918538">
      <w:bodyDiv w:val="1"/>
      <w:marLeft w:val="0"/>
      <w:marRight w:val="0"/>
      <w:marTop w:val="0"/>
      <w:marBottom w:val="0"/>
      <w:divBdr>
        <w:top w:val="none" w:sz="0" w:space="0" w:color="auto"/>
        <w:left w:val="none" w:sz="0" w:space="0" w:color="auto"/>
        <w:bottom w:val="none" w:sz="0" w:space="0" w:color="auto"/>
        <w:right w:val="none" w:sz="0" w:space="0" w:color="auto"/>
      </w:divBdr>
    </w:div>
    <w:div w:id="1001084558">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581141">
      <w:bodyDiv w:val="1"/>
      <w:marLeft w:val="0"/>
      <w:marRight w:val="0"/>
      <w:marTop w:val="0"/>
      <w:marBottom w:val="0"/>
      <w:divBdr>
        <w:top w:val="none" w:sz="0" w:space="0" w:color="auto"/>
        <w:left w:val="none" w:sz="0" w:space="0" w:color="auto"/>
        <w:bottom w:val="none" w:sz="0" w:space="0" w:color="auto"/>
        <w:right w:val="none" w:sz="0" w:space="0" w:color="auto"/>
      </w:divBdr>
    </w:div>
    <w:div w:id="1108235562">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154562323">
      <w:bodyDiv w:val="1"/>
      <w:marLeft w:val="0"/>
      <w:marRight w:val="0"/>
      <w:marTop w:val="0"/>
      <w:marBottom w:val="0"/>
      <w:divBdr>
        <w:top w:val="none" w:sz="0" w:space="0" w:color="auto"/>
        <w:left w:val="none" w:sz="0" w:space="0" w:color="auto"/>
        <w:bottom w:val="none" w:sz="0" w:space="0" w:color="auto"/>
        <w:right w:val="none" w:sz="0" w:space="0" w:color="auto"/>
      </w:divBdr>
    </w:div>
    <w:div w:id="1188563571">
      <w:bodyDiv w:val="1"/>
      <w:marLeft w:val="0"/>
      <w:marRight w:val="0"/>
      <w:marTop w:val="0"/>
      <w:marBottom w:val="0"/>
      <w:divBdr>
        <w:top w:val="none" w:sz="0" w:space="0" w:color="auto"/>
        <w:left w:val="none" w:sz="0" w:space="0" w:color="auto"/>
        <w:bottom w:val="none" w:sz="0" w:space="0" w:color="auto"/>
        <w:right w:val="none" w:sz="0" w:space="0" w:color="auto"/>
      </w:divBdr>
    </w:div>
    <w:div w:id="1189417999">
      <w:bodyDiv w:val="1"/>
      <w:marLeft w:val="0"/>
      <w:marRight w:val="0"/>
      <w:marTop w:val="0"/>
      <w:marBottom w:val="0"/>
      <w:divBdr>
        <w:top w:val="none" w:sz="0" w:space="0" w:color="auto"/>
        <w:left w:val="none" w:sz="0" w:space="0" w:color="auto"/>
        <w:bottom w:val="none" w:sz="0" w:space="0" w:color="auto"/>
        <w:right w:val="none" w:sz="0" w:space="0" w:color="auto"/>
      </w:divBdr>
    </w:div>
    <w:div w:id="1256015590">
      <w:bodyDiv w:val="1"/>
      <w:marLeft w:val="0"/>
      <w:marRight w:val="0"/>
      <w:marTop w:val="0"/>
      <w:marBottom w:val="0"/>
      <w:divBdr>
        <w:top w:val="none" w:sz="0" w:space="0" w:color="auto"/>
        <w:left w:val="none" w:sz="0" w:space="0" w:color="auto"/>
        <w:bottom w:val="none" w:sz="0" w:space="0" w:color="auto"/>
        <w:right w:val="none" w:sz="0" w:space="0" w:color="auto"/>
      </w:divBdr>
    </w:div>
    <w:div w:id="1273442074">
      <w:bodyDiv w:val="1"/>
      <w:marLeft w:val="0"/>
      <w:marRight w:val="0"/>
      <w:marTop w:val="0"/>
      <w:marBottom w:val="0"/>
      <w:divBdr>
        <w:top w:val="none" w:sz="0" w:space="0" w:color="auto"/>
        <w:left w:val="none" w:sz="0" w:space="0" w:color="auto"/>
        <w:bottom w:val="none" w:sz="0" w:space="0" w:color="auto"/>
        <w:right w:val="none" w:sz="0" w:space="0" w:color="auto"/>
      </w:divBdr>
    </w:div>
    <w:div w:id="1283919981">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362394914">
      <w:bodyDiv w:val="1"/>
      <w:marLeft w:val="0"/>
      <w:marRight w:val="0"/>
      <w:marTop w:val="0"/>
      <w:marBottom w:val="0"/>
      <w:divBdr>
        <w:top w:val="none" w:sz="0" w:space="0" w:color="auto"/>
        <w:left w:val="none" w:sz="0" w:space="0" w:color="auto"/>
        <w:bottom w:val="none" w:sz="0" w:space="0" w:color="auto"/>
        <w:right w:val="none" w:sz="0" w:space="0" w:color="auto"/>
      </w:divBdr>
    </w:div>
    <w:div w:id="1383217168">
      <w:bodyDiv w:val="1"/>
      <w:marLeft w:val="0"/>
      <w:marRight w:val="0"/>
      <w:marTop w:val="0"/>
      <w:marBottom w:val="0"/>
      <w:divBdr>
        <w:top w:val="none" w:sz="0" w:space="0" w:color="auto"/>
        <w:left w:val="none" w:sz="0" w:space="0" w:color="auto"/>
        <w:bottom w:val="none" w:sz="0" w:space="0" w:color="auto"/>
        <w:right w:val="none" w:sz="0" w:space="0" w:color="auto"/>
      </w:divBdr>
    </w:div>
    <w:div w:id="1419332322">
      <w:bodyDiv w:val="1"/>
      <w:marLeft w:val="0"/>
      <w:marRight w:val="0"/>
      <w:marTop w:val="0"/>
      <w:marBottom w:val="0"/>
      <w:divBdr>
        <w:top w:val="none" w:sz="0" w:space="0" w:color="auto"/>
        <w:left w:val="none" w:sz="0" w:space="0" w:color="auto"/>
        <w:bottom w:val="none" w:sz="0" w:space="0" w:color="auto"/>
        <w:right w:val="none" w:sz="0" w:space="0" w:color="auto"/>
      </w:divBdr>
    </w:div>
    <w:div w:id="1435125131">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579946054">
      <w:bodyDiv w:val="1"/>
      <w:marLeft w:val="0"/>
      <w:marRight w:val="0"/>
      <w:marTop w:val="0"/>
      <w:marBottom w:val="0"/>
      <w:divBdr>
        <w:top w:val="none" w:sz="0" w:space="0" w:color="auto"/>
        <w:left w:val="none" w:sz="0" w:space="0" w:color="auto"/>
        <w:bottom w:val="none" w:sz="0" w:space="0" w:color="auto"/>
        <w:right w:val="none" w:sz="0" w:space="0" w:color="auto"/>
      </w:divBdr>
    </w:div>
    <w:div w:id="162650332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656254988">
      <w:bodyDiv w:val="1"/>
      <w:marLeft w:val="0"/>
      <w:marRight w:val="0"/>
      <w:marTop w:val="0"/>
      <w:marBottom w:val="0"/>
      <w:divBdr>
        <w:top w:val="none" w:sz="0" w:space="0" w:color="auto"/>
        <w:left w:val="none" w:sz="0" w:space="0" w:color="auto"/>
        <w:bottom w:val="none" w:sz="0" w:space="0" w:color="auto"/>
        <w:right w:val="none" w:sz="0" w:space="0" w:color="auto"/>
      </w:divBdr>
    </w:div>
    <w:div w:id="1679191644">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775249845">
      <w:bodyDiv w:val="1"/>
      <w:marLeft w:val="0"/>
      <w:marRight w:val="0"/>
      <w:marTop w:val="0"/>
      <w:marBottom w:val="0"/>
      <w:divBdr>
        <w:top w:val="none" w:sz="0" w:space="0" w:color="auto"/>
        <w:left w:val="none" w:sz="0" w:space="0" w:color="auto"/>
        <w:bottom w:val="none" w:sz="0" w:space="0" w:color="auto"/>
        <w:right w:val="none" w:sz="0" w:space="0" w:color="auto"/>
      </w:divBdr>
    </w:div>
    <w:div w:id="1778796073">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14327784">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870218228">
      <w:bodyDiv w:val="1"/>
      <w:marLeft w:val="0"/>
      <w:marRight w:val="0"/>
      <w:marTop w:val="0"/>
      <w:marBottom w:val="0"/>
      <w:divBdr>
        <w:top w:val="none" w:sz="0" w:space="0" w:color="auto"/>
        <w:left w:val="none" w:sz="0" w:space="0" w:color="auto"/>
        <w:bottom w:val="none" w:sz="0" w:space="0" w:color="auto"/>
        <w:right w:val="none" w:sz="0" w:space="0" w:color="auto"/>
      </w:divBdr>
    </w:div>
    <w:div w:id="1896041934">
      <w:bodyDiv w:val="1"/>
      <w:marLeft w:val="0"/>
      <w:marRight w:val="0"/>
      <w:marTop w:val="0"/>
      <w:marBottom w:val="0"/>
      <w:divBdr>
        <w:top w:val="none" w:sz="0" w:space="0" w:color="auto"/>
        <w:left w:val="none" w:sz="0" w:space="0" w:color="auto"/>
        <w:bottom w:val="none" w:sz="0" w:space="0" w:color="auto"/>
        <w:right w:val="none" w:sz="0" w:space="0" w:color="auto"/>
      </w:divBdr>
    </w:div>
    <w:div w:id="1927375475">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1957833717">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 w:id="2093310126">
      <w:bodyDiv w:val="1"/>
      <w:marLeft w:val="0"/>
      <w:marRight w:val="0"/>
      <w:marTop w:val="0"/>
      <w:marBottom w:val="0"/>
      <w:divBdr>
        <w:top w:val="none" w:sz="0" w:space="0" w:color="auto"/>
        <w:left w:val="none" w:sz="0" w:space="0" w:color="auto"/>
        <w:bottom w:val="none" w:sz="0" w:space="0" w:color="auto"/>
        <w:right w:val="none" w:sz="0" w:space="0" w:color="auto"/>
      </w:divBdr>
    </w:div>
    <w:div w:id="2094357807">
      <w:bodyDiv w:val="1"/>
      <w:marLeft w:val="0"/>
      <w:marRight w:val="0"/>
      <w:marTop w:val="0"/>
      <w:marBottom w:val="0"/>
      <w:divBdr>
        <w:top w:val="none" w:sz="0" w:space="0" w:color="auto"/>
        <w:left w:val="none" w:sz="0" w:space="0" w:color="auto"/>
        <w:bottom w:val="none" w:sz="0" w:space="0" w:color="auto"/>
        <w:right w:val="none" w:sz="0" w:space="0" w:color="auto"/>
      </w:divBdr>
    </w:div>
    <w:div w:id="2127043545">
      <w:bodyDiv w:val="1"/>
      <w:marLeft w:val="0"/>
      <w:marRight w:val="0"/>
      <w:marTop w:val="0"/>
      <w:marBottom w:val="0"/>
      <w:divBdr>
        <w:top w:val="none" w:sz="0" w:space="0" w:color="auto"/>
        <w:left w:val="none" w:sz="0" w:space="0" w:color="auto"/>
        <w:bottom w:val="none" w:sz="0" w:space="0" w:color="auto"/>
        <w:right w:val="none" w:sz="0" w:space="0" w:color="auto"/>
      </w:divBdr>
    </w:div>
    <w:div w:id="2128036508">
      <w:bodyDiv w:val="1"/>
      <w:marLeft w:val="0"/>
      <w:marRight w:val="0"/>
      <w:marTop w:val="0"/>
      <w:marBottom w:val="0"/>
      <w:divBdr>
        <w:top w:val="none" w:sz="0" w:space="0" w:color="auto"/>
        <w:left w:val="none" w:sz="0" w:space="0" w:color="auto"/>
        <w:bottom w:val="none" w:sz="0" w:space="0" w:color="auto"/>
        <w:right w:val="none" w:sz="0" w:space="0" w:color="auto"/>
      </w:divBdr>
    </w:div>
    <w:div w:id="2135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haron.daniels@harro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1E" PreviousValue="true"/>
</file>

<file path=customXml/item3.xml><?xml version="1.0" encoding="utf-8"?>
<ct:contentTypeSchema xmlns:ct="http://schemas.microsoft.com/office/2006/metadata/contentType" xmlns:ma="http://schemas.microsoft.com/office/2006/metadata/properties/metaAttributes" ct:_="" ma:_="" ma:contentTypeName="Report" ma:contentTypeID="0x0101000226E4B75CFA47B488D2CEFE4DCFDD641E00322D1B544C11E743A5C7D1E5E4FA227D" ma:contentTypeVersion="12" ma:contentTypeDescription="" ma:contentTypeScope="" ma:versionID="4d3bf415faa6f7f70738e8eca47b74d0">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8613bbf3e74375054153f4d0244c0164"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Audience"/>
                <xsd:element ref="ns3:Finance_x0020_Category"/>
                <xsd:element ref="ns3:Repor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Audience" ma:index="17" ma:displayName="Audience" ma:format="Dropdown" ma:internalName="Audience">
      <xsd:simpleType>
        <xsd:restriction base="dms:Choice">
          <xsd:enumeration value="Cabinet"/>
          <xsd:enumeration value="Council"/>
          <xsd:enumeration value="CSB"/>
        </xsd:restriction>
      </xsd:simpleType>
    </xsd:element>
    <xsd:element name="Finance_x0020_Category" ma:index="18" ma:displayName="Finance Category" ma:format="Dropdown" ma:internalName="Finance_x0020_Category">
      <xsd:simpleType>
        <xsd:restriction base="dms:Choice">
          <xsd:enumeration value="Capital"/>
          <xsd:enumeration value="Revenue"/>
        </xsd:restriction>
      </xsd:simpleType>
    </xsd:element>
    <xsd:element name="Report_x0020_Type" ma:index="19" ma:displayName="Report Type" ma:format="Dropdown" ma:internalName="Report_x0020_Type">
      <xsd:simpleType>
        <xsd:restriction base="dms:Choice">
          <xsd:enumeration value="Budget Build"/>
          <xsd:enumeration value="Budget Monitoring"/>
          <xsd:enumeration value="Fees and Char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e_x0020_Category xmlns="21034249-a417-400c-94ae-292fd978b91a">Revenue</Finance_x0020_Category>
    <Report_x0020_Type xmlns="21034249-a417-400c-94ae-292fd978b91a">Budget Monitoring</Report_x0020_Type>
    <Financial_x0020_Date xmlns="e48e9339-ef40-4192-ab59-a15ba5582753">2016-10-31T00:00:00+00:00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Audience xmlns="21034249-a417-400c-94ae-292fd978b91a">Cabinet</Audie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25F-5004-4C23-A8D1-448F06E40D5B}">
  <ds:schemaRefs>
    <ds:schemaRef ds:uri="http://schemas.microsoft.com/sharepoint/v3/contenttype/forms"/>
  </ds:schemaRefs>
</ds:datastoreItem>
</file>

<file path=customXml/itemProps2.xml><?xml version="1.0" encoding="utf-8"?>
<ds:datastoreItem xmlns:ds="http://schemas.openxmlformats.org/officeDocument/2006/customXml" ds:itemID="{3245E281-FBE6-46CF-A661-918C14305235}">
  <ds:schemaRefs>
    <ds:schemaRef ds:uri="Microsoft.SharePoint.Taxonomy.ContentTypeSync"/>
  </ds:schemaRefs>
</ds:datastoreItem>
</file>

<file path=customXml/itemProps3.xml><?xml version="1.0" encoding="utf-8"?>
<ds:datastoreItem xmlns:ds="http://schemas.openxmlformats.org/officeDocument/2006/customXml" ds:itemID="{E7E2CF59-7F7F-4B44-A644-6AA3B57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07451-7AD7-43F1-A856-236694DDB346}">
  <ds:schemaRefs>
    <ds:schemaRef ds:uri="http://purl.org/dc/dcmitype/"/>
    <ds:schemaRef ds:uri="21034249-a417-400c-94ae-292fd978b91a"/>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48e9339-ef40-4192-ab59-a15ba5582753"/>
  </ds:schemaRefs>
</ds:datastoreItem>
</file>

<file path=customXml/itemProps5.xml><?xml version="1.0" encoding="utf-8"?>
<ds:datastoreItem xmlns:ds="http://schemas.openxmlformats.org/officeDocument/2006/customXml" ds:itemID="{2A6304DF-75CE-4B92-9BBB-14932BA8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7562</Words>
  <Characters>40298</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47765</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4</cp:revision>
  <cp:lastPrinted>2016-11-28T15:10:00Z</cp:lastPrinted>
  <dcterms:created xsi:type="dcterms:W3CDTF">2016-11-29T11:06:00Z</dcterms:created>
  <dcterms:modified xsi:type="dcterms:W3CDTF">2016-11-30T09:46:00Z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0x0101000226E4B75CFA47B488D2CEFE4DCFDD641E00322D1B544C11E743A5C7D1E5E4FA227D</vt:lpwstr>
  </property>
  <property fmtid="{D5CDD505-2E9C-101B-9397-08002B2CF9AE}" pid="3" name="TaxKeyword">
    <vt:lpwstr/>
  </property>
</Properties>
</file>